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4A049C40"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B72485" w:rsidRPr="00B72485">
        <w:rPr>
          <w:rFonts w:ascii="Sitka Small" w:hAnsi="Sitka Small"/>
          <w:b/>
          <w:bCs/>
          <w:color w:val="1F4E79" w:themeColor="accent5" w:themeShade="80"/>
          <w:sz w:val="44"/>
          <w:szCs w:val="44"/>
          <w:u w:val="single"/>
        </w:rPr>
        <w:t>I2305059</w:t>
      </w:r>
    </w:p>
    <w:p w14:paraId="7F0953C2" w14:textId="014FC818"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B72485">
        <w:rPr>
          <w:rFonts w:ascii="Sitka Small" w:hAnsi="Sitka Small"/>
          <w:i/>
          <w:iCs/>
          <w:color w:val="1F4E79" w:themeColor="accent5" w:themeShade="80"/>
        </w:rPr>
        <w:t>James Wood</w:t>
      </w:r>
    </w:p>
    <w:p w14:paraId="23DF3E2D" w14:textId="7B00CB39" w:rsidR="009D56D0" w:rsidRPr="00ED4304" w:rsidRDefault="009D56D0" w:rsidP="009D56D0">
      <w:pPr>
        <w:spacing w:after="0" w:line="240" w:lineRule="auto"/>
        <w:jc w:val="center"/>
        <w:rPr>
          <w:rFonts w:ascii="Sitka Small" w:hAnsi="Sitka Small"/>
          <w:color w:val="1F4E79" w:themeColor="accent5" w:themeShade="80"/>
        </w:rPr>
      </w:pPr>
      <w:r>
        <w:rPr>
          <w:rFonts w:ascii="Sitka Small" w:hAnsi="Sitka Small"/>
          <w:color w:val="1F4E79" w:themeColor="accent5" w:themeShade="80"/>
        </w:rPr>
        <w:t xml:space="preserve">Date: </w:t>
      </w:r>
      <w:r w:rsidR="00B72485">
        <w:rPr>
          <w:rFonts w:ascii="Sitka Small" w:hAnsi="Sitka Small"/>
          <w:i/>
          <w:iCs/>
          <w:color w:val="1F4E79" w:themeColor="accent5" w:themeShade="80"/>
        </w:rPr>
        <w:t>May</w:t>
      </w:r>
      <w:r w:rsidRPr="009D56D0">
        <w:rPr>
          <w:rFonts w:ascii="Sitka Small" w:hAnsi="Sitka Small"/>
          <w:i/>
          <w:iCs/>
          <w:color w:val="1F4E79" w:themeColor="accent5" w:themeShade="80"/>
        </w:rPr>
        <w:t xml:space="preserve"> </w:t>
      </w:r>
      <w:r w:rsidR="00B72485">
        <w:rPr>
          <w:rFonts w:ascii="Sitka Small" w:hAnsi="Sitka Small"/>
          <w:i/>
          <w:iCs/>
          <w:color w:val="1F4E79" w:themeColor="accent5" w:themeShade="80"/>
        </w:rPr>
        <w:t>15</w:t>
      </w:r>
      <w:r w:rsidR="00B72485" w:rsidRPr="00B72485">
        <w:rPr>
          <w:rFonts w:ascii="Sitka Small" w:hAnsi="Sitka Small"/>
          <w:i/>
          <w:iCs/>
          <w:color w:val="1F4E79" w:themeColor="accent5" w:themeShade="80"/>
          <w:vertAlign w:val="superscript"/>
        </w:rPr>
        <w:t>th</w:t>
      </w:r>
      <w:r w:rsidRPr="009D56D0">
        <w:rPr>
          <w:rFonts w:ascii="Sitka Small" w:hAnsi="Sitka Small"/>
          <w:i/>
          <w:iCs/>
          <w:color w:val="1F4E79" w:themeColor="accent5" w:themeShade="80"/>
        </w:rPr>
        <w:t xml:space="preserve">, </w:t>
      </w:r>
      <w:r w:rsidR="00B72485">
        <w:rPr>
          <w:rFonts w:ascii="Sitka Small" w:hAnsi="Sitka Small"/>
          <w:i/>
          <w:iCs/>
          <w:color w:val="1F4E79" w:themeColor="accent5" w:themeShade="80"/>
        </w:rPr>
        <w:t>2023</w:t>
      </w:r>
    </w:p>
    <w:p w14:paraId="49499BC3" w14:textId="02799382" w:rsidR="009E6C2D" w:rsidRDefault="00F3288B" w:rsidP="009E6C2D">
      <w:pPr>
        <w:pStyle w:val="ReviewSectionHeader"/>
      </w:pPr>
      <w:r>
        <w:t>Bugs</w:t>
      </w:r>
    </w:p>
    <w:p w14:paraId="53C30646" w14:textId="77777777" w:rsidR="00DE29EB" w:rsidRDefault="007F1F3C" w:rsidP="00DE29EB">
      <w:pPr>
        <w:rPr>
          <w:rFonts w:ascii="Sitka Small" w:hAnsi="Sitka Small"/>
          <w:b/>
          <w:bCs/>
          <w:color w:val="1F4E79" w:themeColor="accent5" w:themeShade="80"/>
          <w:sz w:val="32"/>
          <w:szCs w:val="32"/>
          <w:u w:val="single"/>
        </w:rPr>
      </w:pPr>
      <w:r>
        <w:rPr>
          <w:rFonts w:ascii="Sitka Small" w:hAnsi="Sitka Small"/>
          <w:b/>
          <w:bCs/>
          <w:color w:val="1F4E79" w:themeColor="accent5" w:themeShade="80"/>
          <w:sz w:val="32"/>
          <w:szCs w:val="32"/>
          <w:u w:val="single"/>
        </w:rPr>
        <w:t>Preventative Action/Safety</w:t>
      </w:r>
    </w:p>
    <w:p w14:paraId="1595CF8D" w14:textId="05D7B73D" w:rsidR="00EE526D" w:rsidRDefault="00EE526D" w:rsidP="00EE526D">
      <w:pPr>
        <w:pStyle w:val="ReviewSectionContent"/>
      </w:pPr>
      <w:r>
        <w:t>When setting the ReadOnly/Hidden fields of a column(including the Override properties), use our built-in extension methods. sxSetReadOnlyOverride, for example. These take care of the busy work of ensuring the column tag is actually an sxTag.</w:t>
      </w:r>
    </w:p>
    <w:p w14:paraId="12721DA3" w14:textId="31D6284D" w:rsidR="00EE526D" w:rsidRDefault="00EE526D" w:rsidP="00EE526D">
      <w:pPr>
        <w:pStyle w:val="ReviewSectionContent"/>
        <w:numPr>
          <w:ilvl w:val="0"/>
          <w:numId w:val="0"/>
        </w:numPr>
      </w:pPr>
      <w:r>
        <w:rPr>
          <w:noProof/>
        </w:rPr>
        <w:drawing>
          <wp:inline distT="0" distB="0" distL="0" distR="0" wp14:anchorId="7FD4F061" wp14:editId="0150C658">
            <wp:extent cx="8229600" cy="1808480"/>
            <wp:effectExtent l="0" t="0" r="0" b="1270"/>
            <wp:docPr id="146644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49412" name=""/>
                    <pic:cNvPicPr/>
                  </pic:nvPicPr>
                  <pic:blipFill>
                    <a:blip r:embed="rId6"/>
                    <a:stretch>
                      <a:fillRect/>
                    </a:stretch>
                  </pic:blipFill>
                  <pic:spPr>
                    <a:xfrm>
                      <a:off x="0" y="0"/>
                      <a:ext cx="8229600" cy="1808480"/>
                    </a:xfrm>
                    <a:prstGeom prst="rect">
                      <a:avLst/>
                    </a:prstGeom>
                  </pic:spPr>
                </pic:pic>
              </a:graphicData>
            </a:graphic>
          </wp:inline>
        </w:drawing>
      </w:r>
    </w:p>
    <w:p w14:paraId="3726303F" w14:textId="19F381F9" w:rsidR="00307659" w:rsidRDefault="00315732" w:rsidP="00307659">
      <w:pPr>
        <w:pStyle w:val="ReviewSectionContent"/>
      </w:pPr>
      <w:r>
        <w:t xml:space="preserve">Nit: </w:t>
      </w:r>
      <w:r w:rsidRPr="00315732">
        <w:rPr>
          <w:i/>
          <w:iCs/>
        </w:rPr>
        <w:t>After discussion, this has been logged under another ticket</w:t>
      </w:r>
      <w:r>
        <w:t xml:space="preserve">. </w:t>
      </w:r>
      <w:r w:rsidR="00307659">
        <w:t xml:space="preserve">It looks like other columns </w:t>
      </w:r>
      <w:r>
        <w:t>are</w:t>
      </w:r>
      <w:r w:rsidR="00307659">
        <w:t xml:space="preserve"> also set to NoEdit. I assume having these be modifiable by the user is not a big deal as they don’t affect any updates or inserts or other functionality. However, we also do not want to confuse any easily confused people. I recommend updating any columns specified as NoEdit, to the same ReadOnlyOverride = True. </w:t>
      </w:r>
    </w:p>
    <w:p w14:paraId="02322D87" w14:textId="256CF130" w:rsidR="00307659" w:rsidRPr="009E6C2D" w:rsidRDefault="00307659" w:rsidP="00307659">
      <w:pPr>
        <w:pStyle w:val="ReviewSectionContent"/>
        <w:numPr>
          <w:ilvl w:val="0"/>
          <w:numId w:val="0"/>
        </w:numPr>
        <w:ind w:left="720"/>
      </w:pPr>
      <w:r>
        <w:t>I assume that any column marked as NoEdit was intended to be permanently read only.</w:t>
      </w:r>
    </w:p>
    <w:p w14:paraId="14E002E9" w14:textId="715B587F" w:rsidR="00DE29EB" w:rsidRDefault="00DE29EB" w:rsidP="00DE29EB">
      <w:pPr>
        <w:rPr>
          <w:rFonts w:ascii="Sitka Small" w:hAnsi="Sitka Small"/>
          <w:b/>
          <w:bCs/>
          <w:color w:val="1F4E79" w:themeColor="accent5" w:themeShade="80"/>
          <w:sz w:val="32"/>
          <w:szCs w:val="32"/>
          <w:u w:val="single"/>
        </w:rPr>
      </w:pPr>
      <w:r w:rsidRPr="00F3288B">
        <w:rPr>
          <w:rFonts w:ascii="Sitka Small" w:hAnsi="Sitka Small"/>
          <w:b/>
          <w:bCs/>
          <w:color w:val="1F4E79" w:themeColor="accent5" w:themeShade="80"/>
          <w:sz w:val="32"/>
          <w:szCs w:val="32"/>
          <w:u w:val="single"/>
        </w:rPr>
        <w:t>Design/Architecture</w:t>
      </w:r>
      <w:r w:rsidRPr="00F3288B">
        <w:rPr>
          <w:rFonts w:ascii="Sitka Small" w:hAnsi="Sitka Small"/>
          <w:color w:val="1F4E79" w:themeColor="accent5" w:themeShade="80"/>
          <w:sz w:val="24"/>
          <w:szCs w:val="24"/>
          <w:u w:val="single"/>
        </w:rPr>
        <w:t xml:space="preserve"> (Duplication, appropriate project, namespaces</w:t>
      </w:r>
      <w:r w:rsidR="006205F3">
        <w:rPr>
          <w:rFonts w:ascii="Sitka Small" w:hAnsi="Sitka Small"/>
          <w:color w:val="1F4E79" w:themeColor="accent5" w:themeShade="80"/>
          <w:sz w:val="24"/>
          <w:szCs w:val="24"/>
          <w:u w:val="single"/>
        </w:rPr>
        <w:t>, maintainability</w:t>
      </w:r>
      <w:r w:rsidRPr="00F3288B">
        <w:rPr>
          <w:rFonts w:ascii="Sitka Small" w:hAnsi="Sitka Small"/>
          <w:color w:val="1F4E79" w:themeColor="accent5" w:themeShade="80"/>
          <w:sz w:val="24"/>
          <w:szCs w:val="24"/>
          <w:u w:val="single"/>
        </w:rPr>
        <w:t>)</w:t>
      </w:r>
    </w:p>
    <w:p w14:paraId="4A81AAA0" w14:textId="0F283B48" w:rsidR="00DE29EB" w:rsidRPr="009E6C2D" w:rsidRDefault="00DE29EB" w:rsidP="00DE29EB">
      <w:pPr>
        <w:rPr>
          <w:rFonts w:ascii="Sitka Small" w:hAnsi="Sitka Small"/>
          <w:color w:val="1F4E79" w:themeColor="accent5" w:themeShade="80"/>
          <w:sz w:val="24"/>
          <w:szCs w:val="24"/>
          <w:u w:val="single"/>
        </w:rPr>
      </w:pPr>
      <w:r>
        <w:rPr>
          <w:rFonts w:ascii="Sitka Small" w:hAnsi="Sitka Small"/>
          <w:b/>
          <w:bCs/>
          <w:color w:val="1F4E79" w:themeColor="accent5" w:themeShade="80"/>
          <w:sz w:val="32"/>
          <w:szCs w:val="32"/>
          <w:u w:val="single"/>
        </w:rPr>
        <w:lastRenderedPageBreak/>
        <w:t>Data Model</w:t>
      </w:r>
      <w:r>
        <w:rPr>
          <w:rFonts w:ascii="Sitka Small" w:hAnsi="Sitka Small"/>
          <w:color w:val="1F4E79" w:themeColor="accent5" w:themeShade="80"/>
          <w:sz w:val="24"/>
          <w:szCs w:val="24"/>
          <w:u w:val="single"/>
        </w:rPr>
        <w:t>(Naming, good design, need</w:t>
      </w:r>
      <w:r w:rsidR="00E33201">
        <w:rPr>
          <w:rFonts w:ascii="Sitka Small" w:hAnsi="Sitka Small"/>
          <w:color w:val="1F4E79" w:themeColor="accent5" w:themeShade="80"/>
          <w:sz w:val="24"/>
          <w:szCs w:val="24"/>
          <w:u w:val="single"/>
        </w:rPr>
        <w:t>s</w:t>
      </w:r>
      <w:r>
        <w:rPr>
          <w:rFonts w:ascii="Sitka Small" w:hAnsi="Sitka Small"/>
          <w:color w:val="1F4E79" w:themeColor="accent5" w:themeShade="80"/>
          <w:sz w:val="24"/>
          <w:szCs w:val="24"/>
          <w:u w:val="single"/>
        </w:rPr>
        <w:t xml:space="preserve"> index</w:t>
      </w:r>
      <w:r w:rsidR="00E33201">
        <w:rPr>
          <w:rFonts w:ascii="Sitka Small" w:hAnsi="Sitka Small"/>
          <w:color w:val="1F4E79" w:themeColor="accent5" w:themeShade="80"/>
          <w:sz w:val="24"/>
          <w:szCs w:val="24"/>
          <w:u w:val="single"/>
        </w:rPr>
        <w:t>?</w:t>
      </w:r>
      <w:r>
        <w:rPr>
          <w:rFonts w:ascii="Sitka Small" w:hAnsi="Sitka Small"/>
          <w:color w:val="1F4E79" w:themeColor="accent5" w:themeShade="80"/>
          <w:sz w:val="24"/>
          <w:szCs w:val="24"/>
          <w:u w:val="single"/>
        </w:rPr>
        <w:t>)</w:t>
      </w:r>
    </w:p>
    <w:p w14:paraId="6B7B86D4" w14:textId="77777777" w:rsidR="00DE29EB" w:rsidRPr="009E6C2D"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Performance</w:t>
      </w:r>
      <w:r w:rsidRPr="00F3288B">
        <w:rPr>
          <w:rFonts w:ascii="Sitka Small" w:hAnsi="Sitka Small"/>
          <w:color w:val="1F4E79" w:themeColor="accent5" w:themeShade="80"/>
          <w:sz w:val="24"/>
          <w:szCs w:val="24"/>
          <w:u w:val="single"/>
        </w:rPr>
        <w:t xml:space="preserve"> (Minimize DB hits, excessive loops, queries, scalable)</w:t>
      </w:r>
    </w:p>
    <w:p w14:paraId="56010E17" w14:textId="0506B200" w:rsidR="004414E5" w:rsidRPr="009E6C2D" w:rsidRDefault="00F3288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UI</w:t>
      </w:r>
      <w:r w:rsidRPr="00F3288B">
        <w:rPr>
          <w:rFonts w:ascii="Sitka Small" w:hAnsi="Sitka Small"/>
          <w:color w:val="1F4E79" w:themeColor="accent5" w:themeShade="80"/>
          <w:sz w:val="24"/>
          <w:szCs w:val="24"/>
          <w:u w:val="single"/>
        </w:rPr>
        <w:t>(Alignment, naming, standardization)</w:t>
      </w:r>
    </w:p>
    <w:p w14:paraId="5EF08B7A" w14:textId="2875CE8C" w:rsidR="00F3288B" w:rsidRPr="009E6C2D" w:rsidRDefault="00F3288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Error Handling</w:t>
      </w:r>
      <w:r w:rsidRPr="00F3288B">
        <w:rPr>
          <w:rFonts w:ascii="Sitka Small" w:hAnsi="Sitka Small"/>
          <w:color w:val="1F4E79" w:themeColor="accent5" w:themeShade="80"/>
          <w:sz w:val="24"/>
          <w:szCs w:val="24"/>
          <w:u w:val="single"/>
        </w:rPr>
        <w:t>(Behind events, appropriate parameter checking)</w:t>
      </w:r>
    </w:p>
    <w:p w14:paraId="6ADEF415" w14:textId="7C9B065F" w:rsidR="00F3288B" w:rsidRPr="009E6C2D" w:rsidRDefault="00F3288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Cleanup</w:t>
      </w:r>
      <w:r w:rsidRPr="00F3288B">
        <w:rPr>
          <w:rFonts w:ascii="Sitka Small" w:hAnsi="Sitka Small"/>
          <w:color w:val="1F4E79" w:themeColor="accent5" w:themeShade="80"/>
          <w:sz w:val="24"/>
          <w:szCs w:val="24"/>
          <w:u w:val="single"/>
        </w:rPr>
        <w:t xml:space="preserve"> (Dispose code, remove handlers, large data objects)</w:t>
      </w:r>
    </w:p>
    <w:p w14:paraId="5DFBC67B" w14:textId="77777777" w:rsidR="00DE29EB" w:rsidRPr="009E6C2D" w:rsidRDefault="00F3288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Readability</w:t>
      </w:r>
      <w:r w:rsidRPr="00F3288B">
        <w:rPr>
          <w:rFonts w:ascii="Sitka Small" w:hAnsi="Sitka Small"/>
          <w:color w:val="1F4E79" w:themeColor="accent5" w:themeShade="80"/>
          <w:sz w:val="24"/>
          <w:szCs w:val="24"/>
          <w:u w:val="single"/>
        </w:rPr>
        <w:t xml:space="preserve"> (Well-named variables, methods, clear algorithm, is it understandable)</w:t>
      </w:r>
    </w:p>
    <w:p w14:paraId="067FEF08" w14:textId="3E56FC21" w:rsidR="00DE29EB" w:rsidRPr="009E6C2D"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Comments</w:t>
      </w:r>
      <w:r w:rsidRPr="00F3288B">
        <w:rPr>
          <w:rFonts w:ascii="Sitka Small" w:hAnsi="Sitka Small"/>
          <w:color w:val="1F4E79" w:themeColor="accent5" w:themeShade="80"/>
          <w:sz w:val="24"/>
          <w:szCs w:val="24"/>
          <w:u w:val="single"/>
        </w:rPr>
        <w:t xml:space="preserve"> (Useful, explains why rather than how)</w:t>
      </w:r>
    </w:p>
    <w:p w14:paraId="52E77A31" w14:textId="200D864C" w:rsidR="006A0400" w:rsidRPr="009E6C2D" w:rsidRDefault="00DE29E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Message Boxes</w:t>
      </w:r>
      <w:r w:rsidRPr="00F3288B">
        <w:rPr>
          <w:rFonts w:ascii="Sitka Small" w:hAnsi="Sitka Small"/>
          <w:color w:val="1F4E79" w:themeColor="accent5" w:themeShade="80"/>
          <w:sz w:val="24"/>
          <w:szCs w:val="24"/>
          <w:u w:val="single"/>
        </w:rPr>
        <w:t xml:space="preserve"> (Grammar, spelling, captions, appropriate icons)</w:t>
      </w:r>
    </w:p>
    <w:p w14:paraId="280B17BB" w14:textId="0949C532" w:rsidR="009E6C2D" w:rsidRPr="009E6C2D" w:rsidRDefault="009E6C2D" w:rsidP="009E6C2D">
      <w:pPr>
        <w:pStyle w:val="ReviewSectionHeader"/>
        <w:rPr>
          <w:b w:val="0"/>
          <w:bCs w:val="0"/>
          <w:sz w:val="24"/>
          <w:szCs w:val="24"/>
        </w:rPr>
      </w:pPr>
      <w:r>
        <w:t xml:space="preserve">Ticket </w:t>
      </w:r>
      <w:r w:rsidRPr="0007035E">
        <w:t>Management</w:t>
      </w:r>
      <w:r w:rsidRPr="009E6C2D">
        <w:rPr>
          <w:b w:val="0"/>
          <w:bCs w:val="0"/>
          <w:sz w:val="24"/>
          <w:szCs w:val="24"/>
        </w:rPr>
        <w:t>(Release Branch?</w:t>
      </w:r>
      <w:r>
        <w:rPr>
          <w:b w:val="0"/>
          <w:bCs w:val="0"/>
          <w:sz w:val="24"/>
          <w:szCs w:val="24"/>
        </w:rPr>
        <w:t>, Testing Notes)</w:t>
      </w:r>
    </w:p>
    <w:p w14:paraId="3B760496" w14:textId="7A0EE243" w:rsidR="006A0400" w:rsidRDefault="006A0400" w:rsidP="000E228C">
      <w:pPr>
        <w:rPr>
          <w:rFonts w:ascii="Sitka Small" w:hAnsi="Sitka Small"/>
          <w:color w:val="1F4E79" w:themeColor="accent5" w:themeShade="80"/>
          <w:sz w:val="24"/>
          <w:szCs w:val="24"/>
        </w:rPr>
      </w:pPr>
      <w:r>
        <w:rPr>
          <w:rFonts w:ascii="Sitka Small" w:hAnsi="Sitka Small"/>
          <w:b/>
          <w:bCs/>
          <w:color w:val="1F4E79" w:themeColor="accent5" w:themeShade="80"/>
          <w:sz w:val="32"/>
          <w:szCs w:val="32"/>
          <w:u w:val="single"/>
        </w:rPr>
        <w:t>Extras</w:t>
      </w:r>
    </w:p>
    <w:p w14:paraId="64B21623" w14:textId="1142DEE3" w:rsidR="004A6FCF" w:rsidRDefault="004A6FCF" w:rsidP="004A6FCF">
      <w:pPr>
        <w:pStyle w:val="ReviewSectionContent"/>
      </w:pPr>
      <w:r>
        <w:t>When using TryCast(), directly interacting with the casted object renders the call pointless, as in:</w:t>
      </w:r>
    </w:p>
    <w:p w14:paraId="303CEDCF" w14:textId="79722F16" w:rsidR="004A6FCF" w:rsidRPr="004A6FCF" w:rsidRDefault="004A6FCF" w:rsidP="004A6FCF">
      <w:pPr>
        <w:pStyle w:val="ReviewSectionContent"/>
        <w:numPr>
          <w:ilvl w:val="0"/>
          <w:numId w:val="0"/>
        </w:numPr>
        <w:ind w:left="360" w:firstLine="360"/>
        <w:rPr>
          <w:b/>
          <w:bCs/>
          <w:i/>
          <w:iCs/>
        </w:rPr>
      </w:pPr>
      <w:r w:rsidRPr="004A6FCF">
        <w:rPr>
          <w:b/>
          <w:bCs/>
          <w:i/>
          <w:iCs/>
        </w:rPr>
        <w:t>TryCast(Animal, Human).WriteNovel()</w:t>
      </w:r>
    </w:p>
    <w:p w14:paraId="2BB65FFF" w14:textId="446BD975" w:rsidR="004A6FCF" w:rsidRPr="000E228C" w:rsidRDefault="004A6FCF" w:rsidP="004A6FCF">
      <w:pPr>
        <w:pStyle w:val="ReviewSectionContent"/>
        <w:numPr>
          <w:ilvl w:val="0"/>
          <w:numId w:val="0"/>
        </w:numPr>
        <w:ind w:left="360" w:firstLine="360"/>
      </w:pPr>
      <w:r>
        <w:t xml:space="preserve">The TryCast is not doing all that much here. The purpose of TryCast() is so that it doesn’t fail when the cast is not possible. If the cast fails, what happens instead is that </w:t>
      </w:r>
      <w:r w:rsidRPr="00307659">
        <w:rPr>
          <w:i/>
          <w:iCs/>
        </w:rPr>
        <w:t>Nothing</w:t>
      </w:r>
      <w:r>
        <w:t xml:space="preserve"> is returned. When using it in the above manner, if the </w:t>
      </w:r>
      <w:r w:rsidRPr="00307659">
        <w:rPr>
          <w:i/>
          <w:iCs/>
        </w:rPr>
        <w:t>Animal</w:t>
      </w:r>
      <w:r>
        <w:t xml:space="preserve"> object is actually of type </w:t>
      </w:r>
      <w:r w:rsidRPr="00307659">
        <w:rPr>
          <w:i/>
          <w:iCs/>
        </w:rPr>
        <w:t>Koala</w:t>
      </w:r>
      <w:r>
        <w:t xml:space="preserve">, then the cast will fail and default to Nothing, but calling .WriteNovel() </w:t>
      </w:r>
      <w:r w:rsidR="00307659">
        <w:t>o</w:t>
      </w:r>
      <w:r>
        <w:t>n Nothing will obviously not work. If a direct call</w:t>
      </w:r>
      <w:r>
        <w:rPr>
          <w:b/>
          <w:bCs/>
        </w:rPr>
        <w:t xml:space="preserve"> after</w:t>
      </w:r>
      <w:r>
        <w:t xml:space="preserve"> the cast is made, then </w:t>
      </w:r>
      <w:r w:rsidRPr="00307659">
        <w:rPr>
          <w:i/>
          <w:iCs/>
        </w:rPr>
        <w:t>DirectCast</w:t>
      </w:r>
      <w:r>
        <w:t xml:space="preserve"> might as well be used, as that will fail </w:t>
      </w:r>
      <w:r w:rsidR="00307659">
        <w:t>i</w:t>
      </w:r>
      <w:r>
        <w:t>f the cast fails.</w:t>
      </w:r>
    </w:p>
    <w:p w14:paraId="257F7076" w14:textId="0A984C90" w:rsidR="006A0400" w:rsidRPr="004A6FCF" w:rsidRDefault="004A6FCF" w:rsidP="006A0400">
      <w:pPr>
        <w:ind w:left="360"/>
        <w:rPr>
          <w:rFonts w:ascii="Sitka Small" w:hAnsi="Sitka Small"/>
          <w:color w:val="1F4E79" w:themeColor="accent5" w:themeShade="80"/>
          <w:sz w:val="24"/>
          <w:szCs w:val="24"/>
        </w:rPr>
      </w:pPr>
      <w:r w:rsidRPr="004A6FCF">
        <w:rPr>
          <w:rFonts w:ascii="Sitka Small" w:hAnsi="Sitka Small"/>
          <w:color w:val="1F4E79" w:themeColor="accent5" w:themeShade="80"/>
          <w:sz w:val="24"/>
          <w:szCs w:val="24"/>
        </w:rPr>
        <w:t>Note, I am very guilty of using it this way.</w:t>
      </w:r>
    </w:p>
    <w:sectPr w:rsidR="006A0400" w:rsidRPr="004A6FCF"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307659"/>
    <w:rsid w:val="00315732"/>
    <w:rsid w:val="004414E5"/>
    <w:rsid w:val="004A6FCF"/>
    <w:rsid w:val="006205F3"/>
    <w:rsid w:val="006A0400"/>
    <w:rsid w:val="007F1F3C"/>
    <w:rsid w:val="00872841"/>
    <w:rsid w:val="009D56D0"/>
    <w:rsid w:val="009E6C2D"/>
    <w:rsid w:val="00A371D3"/>
    <w:rsid w:val="00A54965"/>
    <w:rsid w:val="00B13DD1"/>
    <w:rsid w:val="00B72485"/>
    <w:rsid w:val="00BF03AD"/>
    <w:rsid w:val="00C17A5E"/>
    <w:rsid w:val="00DE29EB"/>
    <w:rsid w:val="00E33201"/>
    <w:rsid w:val="00EE526D"/>
    <w:rsid w:val="00F3288B"/>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Normal"/>
    <w:link w:val="ReviewSectionHeaderChar"/>
    <w:qFormat/>
    <w:rsid w:val="009E6C2D"/>
    <w:rPr>
      <w:rFonts w:ascii="Sitka Small" w:hAnsi="Sitka Small"/>
      <w:b/>
      <w:bCs/>
      <w:color w:val="1F4E79" w:themeColor="accent5" w:themeShade="80"/>
      <w:sz w:val="32"/>
      <w:szCs w:val="32"/>
      <w:u w:val="single"/>
    </w:rPr>
  </w:style>
  <w:style w:type="paragraph" w:customStyle="1" w:styleId="ReviewSectionContent">
    <w:name w:val="Review Section Content"/>
    <w:basedOn w:val="ReviewSectionHeader"/>
    <w:link w:val="ReviewSectionContentChar"/>
    <w:qFormat/>
    <w:rsid w:val="009E6C2D"/>
    <w:pPr>
      <w:numPr>
        <w:numId w:val="6"/>
      </w:numPr>
    </w:pPr>
    <w:rPr>
      <w:b w:val="0"/>
      <w:bCs w:val="0"/>
      <w:sz w:val="24"/>
      <w:szCs w:val="24"/>
      <w:u w:val="none"/>
    </w:rPr>
  </w:style>
  <w:style w:type="character" w:customStyle="1" w:styleId="ReviewSectionHeaderChar">
    <w:name w:val="Review Section Header Char"/>
    <w:basedOn w:val="DefaultParagraphFont"/>
    <w:link w:val="ReviewSectionHeader"/>
    <w:rsid w:val="009E6C2D"/>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9E6C2D"/>
    <w:rPr>
      <w:rFonts w:ascii="Sitka Small" w:hAnsi="Sitka Small"/>
      <w:b w:val="0"/>
      <w:bCs w:val="0"/>
      <w:color w:val="1F4E79" w:themeColor="accent5" w:themeShade="8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James Wood</cp:lastModifiedBy>
  <cp:revision>14</cp:revision>
  <dcterms:created xsi:type="dcterms:W3CDTF">2023-02-02T16:46:00Z</dcterms:created>
  <dcterms:modified xsi:type="dcterms:W3CDTF">2023-05-15T19:07:00Z</dcterms:modified>
</cp:coreProperties>
</file>