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BodyText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BodyText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BodyText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BodyText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itle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BodyText"/>
        <w:rPr>
          <w:b/>
          <w:sz w:val="20"/>
        </w:rPr>
      </w:pPr>
    </w:p>
    <w:p w14:paraId="1369565D" w14:textId="77777777" w:rsidR="005C0F4B" w:rsidRDefault="005C0F4B" w:rsidP="005C0F4B">
      <w:pPr>
        <w:pStyle w:val="BodyText"/>
        <w:rPr>
          <w:b/>
          <w:sz w:val="20"/>
        </w:rPr>
      </w:pPr>
    </w:p>
    <w:p w14:paraId="4B22F69D" w14:textId="77777777" w:rsidR="005C0F4B" w:rsidRDefault="005C0F4B" w:rsidP="005C0F4B">
      <w:pPr>
        <w:pStyle w:val="BodyText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26E3E" w14:textId="19BCFFFC" w:rsidR="00205B3F" w:rsidRPr="00205B3F" w:rsidRDefault="00205B3F" w:rsidP="00205B3F"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1C126E3E" w14:textId="19BCFFFC" w:rsidR="00205B3F" w:rsidRPr="00205B3F" w:rsidRDefault="00205B3F" w:rsidP="00205B3F"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7A450FC7" w:rsidR="00205B3F" w:rsidRPr="00205B3F" w:rsidRDefault="00205B3F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>Eng.º  Luís Morgado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7A450FC7" w:rsidR="00205B3F" w:rsidRPr="00205B3F" w:rsidRDefault="00205B3F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>Eng.º  Luís Morgado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BodyText"/>
        <w:rPr>
          <w:sz w:val="20"/>
        </w:rPr>
      </w:pPr>
    </w:p>
    <w:p w14:paraId="080643B3" w14:textId="77777777" w:rsidR="005C0F4B" w:rsidRDefault="005C0F4B" w:rsidP="005C0F4B">
      <w:pPr>
        <w:pStyle w:val="BodyText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TOC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yperlink"/>
                <w:color w:val="auto"/>
                <w:u w:val="none"/>
              </w:rPr>
              <w:t>Projeto A</w:t>
            </w:r>
            <w:r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TOC2"/>
            <w:tabs>
              <w:tab w:val="right" w:leader="dot" w:pos="8638"/>
            </w:tabs>
            <w:spacing w:before="123"/>
          </w:pPr>
          <w:hyperlink r:id="rId10" w:anchor="_bookmark1" w:history="1">
            <w:r w:rsidR="005C0F4B">
              <w:rPr>
                <w:rStyle w:val="Hyperlink"/>
                <w:color w:val="auto"/>
                <w:u w:val="none"/>
              </w:rPr>
              <w:t>Introdução</w:t>
            </w:r>
            <w:r w:rsidR="005C0F4B"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TOC2"/>
            <w:tabs>
              <w:tab w:val="right" w:leader="dot" w:pos="8638"/>
            </w:tabs>
          </w:pPr>
          <w:hyperlink r:id="rId11" w:anchor="_bookmark2" w:history="1">
            <w:r w:rsidR="005C0F4B">
              <w:rPr>
                <w:rStyle w:val="Hyperlink"/>
                <w:color w:val="auto"/>
                <w:u w:val="none"/>
              </w:rPr>
              <w:t>Trabalho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Diário/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Enquadramento</w:t>
            </w:r>
            <w:r w:rsidR="005C0F4B"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TOC2"/>
            <w:tabs>
              <w:tab w:val="right" w:leader="dot" w:pos="8638"/>
            </w:tabs>
            <w:spacing w:before="123"/>
          </w:pPr>
          <w:hyperlink r:id="rId12" w:anchor="_bookmark3" w:history="1">
            <w:r w:rsidR="005C0F4B">
              <w:rPr>
                <w:rStyle w:val="Hyperlink"/>
                <w:color w:val="auto"/>
                <w:u w:val="none"/>
              </w:rPr>
              <w:t>Análise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dos</w:t>
            </w:r>
            <w:r w:rsidR="005C0F4B"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Dados</w:t>
            </w:r>
            <w:r w:rsidR="005C0F4B"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TOC2"/>
            <w:tabs>
              <w:tab w:val="right" w:leader="dot" w:pos="8638"/>
            </w:tabs>
          </w:pPr>
          <w:hyperlink r:id="rId13" w:anchor="_bookmark4" w:history="1">
            <w:r w:rsidR="005C0F4B">
              <w:rPr>
                <w:rStyle w:val="Hyperlink"/>
                <w:color w:val="auto"/>
                <w:u w:val="none"/>
              </w:rPr>
              <w:t>Modelos</w:t>
            </w:r>
            <w:r w:rsidR="005C0F4B"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de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Dados</w:t>
            </w:r>
            <w:r w:rsidR="005C0F4B">
              <w:rPr>
                <w:rStyle w:val="Hyperlink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TOC2"/>
            <w:tabs>
              <w:tab w:val="right" w:leader="dot" w:pos="8638"/>
            </w:tabs>
          </w:pPr>
          <w:hyperlink r:id="rId14" w:anchor="_bookmark5" w:history="1">
            <w:r w:rsidR="005C0F4B">
              <w:rPr>
                <w:rStyle w:val="Hyperlink"/>
                <w:color w:val="auto"/>
                <w:u w:val="none"/>
              </w:rPr>
              <w:t>Criação da</w:t>
            </w:r>
            <w:r w:rsidR="005C0F4B"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base de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dados –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Scripts</w:t>
            </w:r>
            <w:r w:rsidR="005C0F4B">
              <w:rPr>
                <w:rStyle w:val="Hyperlink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TOC2"/>
            <w:tabs>
              <w:tab w:val="right" w:leader="dot" w:pos="8638"/>
            </w:tabs>
            <w:spacing w:before="123"/>
          </w:pPr>
          <w:hyperlink r:id="rId15" w:anchor="_bookmark6" w:history="1">
            <w:r w:rsidR="005C0F4B">
              <w:rPr>
                <w:rStyle w:val="Hyperlink"/>
                <w:color w:val="auto"/>
                <w:u w:val="none"/>
              </w:rPr>
              <w:t>Classificador</w:t>
            </w:r>
            <w:r w:rsidR="005C0F4B">
              <w:rPr>
                <w:rStyle w:val="Hyperlink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1R</w:t>
            </w:r>
            <w:r w:rsidR="005C0F4B">
              <w:rPr>
                <w:rStyle w:val="Hyperlink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TOC3"/>
            <w:tabs>
              <w:tab w:val="right" w:leader="dot" w:pos="8638"/>
            </w:tabs>
          </w:pPr>
          <w:hyperlink r:id="rId16" w:anchor="_bookmark7" w:history="1">
            <w:r w:rsidR="005C0F4B">
              <w:rPr>
                <w:rStyle w:val="Hyperlink"/>
                <w:color w:val="auto"/>
                <w:u w:val="none"/>
              </w:rPr>
              <w:t>Implementação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1R</w:t>
            </w:r>
            <w:r w:rsidR="005C0F4B">
              <w:rPr>
                <w:rStyle w:val="Hyperlink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TOC2"/>
            <w:tabs>
              <w:tab w:val="right" w:leader="dot" w:pos="8638"/>
            </w:tabs>
            <w:spacing w:before="123"/>
          </w:pPr>
          <w:hyperlink r:id="rId17" w:anchor="_bookmark8" w:history="1">
            <w:r w:rsidR="005C0F4B">
              <w:rPr>
                <w:rStyle w:val="Hyperlink"/>
                <w:color w:val="auto"/>
                <w:u w:val="none"/>
              </w:rPr>
              <w:t>Árvore de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decisão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–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ID3</w:t>
            </w:r>
            <w:r w:rsidR="005C0F4B">
              <w:rPr>
                <w:rStyle w:val="Hyperlink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TOC2"/>
            <w:tabs>
              <w:tab w:val="right" w:leader="dot" w:pos="8638"/>
            </w:tabs>
          </w:pPr>
          <w:hyperlink r:id="rId18" w:anchor="_bookmark9" w:history="1">
            <w:r w:rsidR="005C0F4B">
              <w:rPr>
                <w:rStyle w:val="Hyperlink"/>
                <w:color w:val="auto"/>
                <w:u w:val="none"/>
              </w:rPr>
              <w:t>Naïve Bayes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-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NB</w:t>
            </w:r>
            <w:r w:rsidR="005C0F4B">
              <w:rPr>
                <w:rStyle w:val="Hyperlink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TOC3"/>
            <w:tabs>
              <w:tab w:val="right" w:leader="dot" w:pos="8638"/>
            </w:tabs>
            <w:spacing w:before="123"/>
          </w:pPr>
          <w:hyperlink r:id="rId19" w:anchor="_bookmark10" w:history="1">
            <w:r w:rsidR="005C0F4B">
              <w:rPr>
                <w:rStyle w:val="Hyperlink"/>
                <w:color w:val="auto"/>
                <w:u w:val="none"/>
              </w:rPr>
              <w:t>Implementação ID3 e Naïve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Bayes</w:t>
            </w:r>
            <w:r w:rsidR="005C0F4B">
              <w:rPr>
                <w:rStyle w:val="Hyperlink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TOC2"/>
            <w:tabs>
              <w:tab w:val="right" w:leader="dot" w:pos="8639"/>
            </w:tabs>
          </w:pPr>
          <w:hyperlink r:id="rId20" w:anchor="_bookmark11" w:history="1">
            <w:r w:rsidR="005C0F4B">
              <w:rPr>
                <w:rStyle w:val="Hyperlink"/>
                <w:color w:val="auto"/>
                <w:u w:val="none"/>
              </w:rPr>
              <w:t>Classificação dos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Modelos</w:t>
            </w:r>
            <w:r w:rsidR="005C0F4B">
              <w:rPr>
                <w:rStyle w:val="Hyperlink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TOC1"/>
            <w:tabs>
              <w:tab w:val="right" w:leader="dot" w:pos="8639"/>
            </w:tabs>
            <w:spacing w:before="121"/>
          </w:pPr>
          <w:hyperlink r:id="rId21" w:anchor="_bookmark12" w:history="1">
            <w:r w:rsidR="005C0F4B">
              <w:rPr>
                <w:rStyle w:val="Hyperlink"/>
                <w:color w:val="auto"/>
                <w:u w:val="none"/>
              </w:rPr>
              <w:t>Projeto A1</w:t>
            </w:r>
            <w:r w:rsidR="005C0F4B"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TOC2"/>
            <w:tabs>
              <w:tab w:val="right" w:leader="dot" w:pos="8639"/>
            </w:tabs>
            <w:spacing w:before="122"/>
          </w:pPr>
          <w:hyperlink r:id="rId22" w:anchor="_bookmark13" w:history="1">
            <w:r w:rsidR="005C0F4B">
              <w:rPr>
                <w:rStyle w:val="Hyperlink"/>
                <w:color w:val="auto"/>
                <w:u w:val="none"/>
              </w:rPr>
              <w:t>Introdução</w:t>
            </w:r>
            <w:r w:rsidR="005C0F4B"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TOC2"/>
            <w:tabs>
              <w:tab w:val="right" w:leader="dot" w:pos="8639"/>
            </w:tabs>
            <w:spacing w:before="121"/>
          </w:pPr>
          <w:hyperlink r:id="rId23" w:anchor="_bookmark14" w:history="1">
            <w:r w:rsidR="005C0F4B">
              <w:rPr>
                <w:rStyle w:val="Hyperlink"/>
                <w:color w:val="auto"/>
                <w:u w:val="none"/>
              </w:rPr>
              <w:t>Análise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dos</w:t>
            </w:r>
            <w:r w:rsidR="005C0F4B"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Dados</w:t>
            </w:r>
            <w:r w:rsidR="005C0F4B"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TOC2"/>
            <w:tabs>
              <w:tab w:val="right" w:leader="dot" w:pos="8639"/>
            </w:tabs>
            <w:spacing w:before="122"/>
          </w:pPr>
          <w:hyperlink r:id="rId24" w:anchor="_bookmark15" w:history="1">
            <w:r w:rsidR="005C0F4B">
              <w:rPr>
                <w:rStyle w:val="Hyperlink"/>
                <w:color w:val="auto"/>
                <w:u w:val="none"/>
              </w:rPr>
              <w:t>Converter</w:t>
            </w:r>
            <w:r w:rsidR="005C0F4B">
              <w:rPr>
                <w:rStyle w:val="Hyperlink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um</w:t>
            </w:r>
            <w:r w:rsidR="005C0F4B"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ficheiro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csv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para um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ficheiro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tab</w:t>
            </w:r>
            <w:r w:rsidR="005C0F4B"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TOC2"/>
            <w:tabs>
              <w:tab w:val="right" w:leader="dot" w:pos="8639"/>
            </w:tabs>
          </w:pPr>
          <w:hyperlink r:id="rId25" w:anchor="_bookmark16" w:history="1">
            <w:r w:rsidR="005C0F4B">
              <w:rPr>
                <w:rStyle w:val="Hyperlink"/>
                <w:color w:val="auto"/>
                <w:u w:val="none"/>
              </w:rPr>
              <w:t>Aplicação do</w:t>
            </w:r>
            <w:r w:rsidR="005C0F4B"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Algoritmo</w:t>
            </w:r>
            <w:r w:rsidR="005C0F4B"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yperlink"/>
                <w:color w:val="auto"/>
                <w:u w:val="none"/>
              </w:rPr>
              <w:t>1R</w:t>
            </w:r>
            <w:r w:rsidR="005C0F4B"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TOC2"/>
            <w:tabs>
              <w:tab w:val="right" w:leader="dot" w:pos="8639"/>
            </w:tabs>
            <w:spacing w:before="121"/>
          </w:pPr>
          <w:hyperlink r:id="rId26" w:anchor="_bookmark17" w:history="1">
            <w:r w:rsidR="005C0F4B">
              <w:rPr>
                <w:rStyle w:val="Hyperlink"/>
                <w:color w:val="auto"/>
                <w:u w:val="none"/>
              </w:rPr>
              <w:t>Orange</w:t>
            </w:r>
            <w:r w:rsidR="005C0F4B">
              <w:rPr>
                <w:rStyle w:val="Hyperlink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TOC1"/>
            <w:tabs>
              <w:tab w:val="right" w:leader="dot" w:pos="8639"/>
            </w:tabs>
            <w:spacing w:before="123"/>
          </w:pPr>
          <w:hyperlink r:id="rId27" w:anchor="_bookmark18" w:history="1">
            <w:r w:rsidR="005C0F4B">
              <w:rPr>
                <w:rStyle w:val="Hyperlink"/>
                <w:color w:val="auto"/>
                <w:u w:val="none"/>
              </w:rPr>
              <w:t>Conclusão</w:t>
            </w:r>
            <w:r w:rsidR="005C0F4B">
              <w:rPr>
                <w:rStyle w:val="Hyperlink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Heading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Heading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Heading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Heading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BodyText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Heading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Heading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MedKnow,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MedKnow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BodyText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r w:rsidR="008B03AD" w:rsidRPr="008B03AD">
        <w:rPr>
          <w:i/>
          <w:iCs/>
        </w:rPr>
        <w:t>Medknow</w:t>
      </w:r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BodyText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Heading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Heading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Heading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(Entity-Relationship notation)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P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7FC5A3B" w14:textId="2D8CCF0B" w:rsidR="00786FDD" w:rsidRDefault="002F7AAA" w:rsidP="00F427B9">
      <w:pPr>
        <w:pStyle w:val="Heading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FDD">
        <w:rPr>
          <w:color w:val="2E5395"/>
          <w:sz w:val="36"/>
          <w:szCs w:val="36"/>
        </w:rPr>
        <w:t xml:space="preserve">Modelo Entidade-Relação </w:t>
      </w:r>
    </w:p>
    <w:p w14:paraId="178D1763" w14:textId="2F56327D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917854E" w14:textId="2284FFC3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503E2587" w14:textId="77777777" w:rsidR="00786FDD" w:rsidRPr="00AF1A7E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2E0C3588" w14:textId="39BA5A11" w:rsidR="00F427B9" w:rsidRDefault="00F427B9" w:rsidP="00EF7539">
      <w:pPr>
        <w:pStyle w:val="Heading4"/>
        <w:spacing w:before="161" w:line="360" w:lineRule="auto"/>
        <w:rPr>
          <w:b w:val="0"/>
          <w:bCs w:val="0"/>
        </w:rPr>
      </w:pPr>
    </w:p>
    <w:p w14:paraId="66A776FF" w14:textId="1C21CF95" w:rsidR="005C0F4B" w:rsidRPr="002C19DF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  <w:lang w:val="en-US"/>
        </w:rPr>
        <w:sectPr w:rsidR="005C0F4B" w:rsidRPr="002C19DF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66838C3F" w14:textId="77777777" w:rsidR="005C0F4B" w:rsidRDefault="005C0F4B" w:rsidP="005C0F4B">
      <w:pPr>
        <w:pStyle w:val="BodyText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BodyText"/>
        <w:rPr>
          <w:i/>
          <w:sz w:val="20"/>
        </w:rPr>
      </w:pPr>
    </w:p>
    <w:p w14:paraId="03887EFE" w14:textId="77777777" w:rsidR="002C19DF" w:rsidRPr="002C19DF" w:rsidRDefault="002C19DF" w:rsidP="005C0F4B">
      <w:pPr>
        <w:pStyle w:val="BodyText"/>
        <w:rPr>
          <w:iCs/>
          <w:sz w:val="20"/>
        </w:rPr>
      </w:pPr>
    </w:p>
    <w:sectPr w:rsidR="002C19DF" w:rsidRPr="002C19DF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B468" w14:textId="77777777" w:rsidR="00340D56" w:rsidRDefault="00340D56" w:rsidP="005C0F4B">
      <w:r>
        <w:separator/>
      </w:r>
    </w:p>
  </w:endnote>
  <w:endnote w:type="continuationSeparator" w:id="0">
    <w:p w14:paraId="5176D440" w14:textId="77777777" w:rsidR="00340D56" w:rsidRDefault="00340D56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9E37" w14:textId="77777777" w:rsidR="00340D56" w:rsidRDefault="00340D56" w:rsidP="005C0F4B">
      <w:r>
        <w:separator/>
      </w:r>
    </w:p>
  </w:footnote>
  <w:footnote w:type="continuationSeparator" w:id="0">
    <w:p w14:paraId="7674295E" w14:textId="77777777" w:rsidR="00340D56" w:rsidRDefault="00340D56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4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5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6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</w:num>
  <w:num w:numId="3" w16cid:durableId="1962032814">
    <w:abstractNumId w:val="1"/>
  </w:num>
  <w:num w:numId="4" w16cid:durableId="644168206">
    <w:abstractNumId w:val="1"/>
  </w:num>
  <w:num w:numId="5" w16cid:durableId="1713383356">
    <w:abstractNumId w:val="0"/>
  </w:num>
  <w:num w:numId="6" w16cid:durableId="1289123105">
    <w:abstractNumId w:val="0"/>
  </w:num>
  <w:num w:numId="7" w16cid:durableId="424151314">
    <w:abstractNumId w:val="5"/>
  </w:num>
  <w:num w:numId="8" w16cid:durableId="275527544">
    <w:abstractNumId w:val="5"/>
  </w:num>
  <w:num w:numId="9" w16cid:durableId="1555509010">
    <w:abstractNumId w:val="3"/>
  </w:num>
  <w:num w:numId="10" w16cid:durableId="1245066358">
    <w:abstractNumId w:val="3"/>
  </w:num>
  <w:num w:numId="11" w16cid:durableId="909731535">
    <w:abstractNumId w:val="4"/>
  </w:num>
  <w:num w:numId="12" w16cid:durableId="35161015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6"/>
  </w:num>
  <w:num w:numId="14" w16cid:durableId="209508630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D09D3"/>
    <w:rsid w:val="001B349C"/>
    <w:rsid w:val="001C0EC5"/>
    <w:rsid w:val="00205B3F"/>
    <w:rsid w:val="0029682B"/>
    <w:rsid w:val="002C19DF"/>
    <w:rsid w:val="002F7AAA"/>
    <w:rsid w:val="00340D56"/>
    <w:rsid w:val="003C67F4"/>
    <w:rsid w:val="005C0F4B"/>
    <w:rsid w:val="005F5B42"/>
    <w:rsid w:val="00697484"/>
    <w:rsid w:val="00786FDD"/>
    <w:rsid w:val="008B03AD"/>
    <w:rsid w:val="008F7326"/>
    <w:rsid w:val="00961412"/>
    <w:rsid w:val="009D393E"/>
    <w:rsid w:val="009E6612"/>
    <w:rsid w:val="009F4F34"/>
    <w:rsid w:val="00A74A48"/>
    <w:rsid w:val="00AF1A7E"/>
    <w:rsid w:val="00B654C3"/>
    <w:rsid w:val="00C348FA"/>
    <w:rsid w:val="00D167AC"/>
    <w:rsid w:val="00DB1A40"/>
    <w:rsid w:val="00E70970"/>
    <w:rsid w:val="00EF7539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TOC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TOC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C0F4B"/>
  </w:style>
  <w:style w:type="character" w:customStyle="1" w:styleId="BodyTextChar">
    <w:name w:val="Body Text Char"/>
    <w:basedOn w:val="DefaultParagraphFont"/>
    <w:link w:val="BodyText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yperlink">
    <w:name w:val="Hyperlink"/>
    <w:basedOn w:val="DefaultParagraphFont"/>
    <w:uiPriority w:val="99"/>
    <w:unhideWhenUsed/>
    <w:rsid w:val="005C0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F4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4B"/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Gonçalo Silva</cp:lastModifiedBy>
  <cp:revision>3</cp:revision>
  <dcterms:created xsi:type="dcterms:W3CDTF">2023-10-01T13:53:00Z</dcterms:created>
  <dcterms:modified xsi:type="dcterms:W3CDTF">2023-10-02T21:09:00Z</dcterms:modified>
</cp:coreProperties>
</file>