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Arial"/>
          <w:b/>
          <w:color w:val="000000"/>
          <w:sz w:val="22"/>
        </w:rPr>
        <w:t>DOCUMENTO 03</w:t>
      </w:r>
    </w:p>
    <w:p>
      <w:pPr>
        <w:spacing w:after="80"/>
      </w:pPr>
      <w:r>
        <w:rPr>
          <w:rFonts w:ascii="Arial" w:hAnsi="Arial" w:eastAsia="Arial"/>
          <w:b/>
          <w:color w:val="000000"/>
          <w:sz w:val="44"/>
        </w:rPr>
        <w:t>Requisitos do Sistema</w:t>
      </w:r>
    </w:p>
    <w:p>
      <w:pPr>
        <w:spacing w:after="0"/>
      </w:pPr>
      <w:r>
        <w:rPr>
          <w:rFonts w:ascii="Arial" w:hAnsi="Arial" w:eastAsia="Arial"/>
          <w:color w:val="000000"/>
          <w:sz w:val="24"/>
        </w:rPr>
        <w:t>Especificação funcional e não funcional do LifeQuest</w:t>
      </w:r>
    </w:p>
    <w:p/>
    <w:p/>
    <w:p/>
    <w:p/>
    <w:p/>
    <w:p>
      <w:pPr>
        <w:jc w:val="left"/>
      </w:pPr>
      <w:r>
        <w:rPr>
          <w:rFonts w:ascii="Arial" w:hAnsi="Arial" w:eastAsia="Arial"/>
          <w:b/>
          <w:color w:val="000000"/>
          <w:sz w:val="22"/>
        </w:rPr>
        <w:t>LifeQuest</w:t>
      </w:r>
    </w:p>
    <w:p>
      <w:r>
        <w:rPr>
          <w:rFonts w:ascii="Arial" w:hAnsi="Arial" w:eastAsia="Arial"/>
          <w:color w:val="000000"/>
          <w:sz w:val="20"/>
        </w:rPr>
        <w:t>Versão inicial de requisitos para desenvolvimento solo</w:t>
      </w:r>
    </w:p>
    <w:p>
      <w:r>
        <w:rPr>
          <w:rFonts w:ascii="Arial" w:hAnsi="Arial" w:eastAsia="Arial"/>
          <w:color w:val="000000"/>
          <w:sz w:val="22"/>
        </w:rPr>
        <w:br w:type="page"/>
      </w:r>
    </w:p>
    <w:p>
      <w:pPr>
        <w:pStyle w:val="Heading1"/>
        <w:keepNext/>
        <w:spacing w:before="200" w:after="80"/>
      </w:pPr>
      <w:r>
        <w:rPr>
          <w:rFonts w:ascii="Arial" w:hAnsi="Arial" w:eastAsia="Arial"/>
          <w:b/>
          <w:color w:val="000000"/>
          <w:sz w:val="32"/>
        </w:rPr>
        <w:t>1. Objetivo do documento</w:t>
      </w:r>
    </w:p>
    <w:p>
      <w:pPr>
        <w:spacing w:after="100" w:line="259" w:lineRule="auto"/>
      </w:pPr>
      <w:r>
        <w:rPr>
          <w:rFonts w:ascii="Arial" w:hAnsi="Arial" w:eastAsia="Arial"/>
          <w:color w:val="000000"/>
          <w:sz w:val="22"/>
        </w:rPr>
        <w:t>Este documento define os requisitos funcionais e não funcionais do LifeQuest para orientar a implementação da primeira versão. Ele traduz as regras de negócio já consolidadas em comportamentos verificáveis do sistema, mantendo uma documentação enxuta e adequada a um projeto desenvolvido inicialmente por uma única pessoa.</w:t>
      </w:r>
    </w:p>
    <w:p>
      <w:pPr>
        <w:spacing w:after="100" w:line="259" w:lineRule="auto"/>
      </w:pPr>
      <w:r>
        <w:rPr>
          <w:rFonts w:ascii="Arial" w:hAnsi="Arial" w:eastAsia="Arial"/>
          <w:color w:val="000000"/>
          <w:sz w:val="22"/>
        </w:rPr>
        <w:t>O Documento 02 - Glossário e Regras de Negócio permanece como fonte das fórmulas e conceitos do domínio. Este documento descreve o que o sistema deve permitir, validar, calcular, armazenar e apresentar.</w:t>
      </w:r>
    </w:p>
    <w:p>
      <w:pPr>
        <w:pStyle w:val="Heading2"/>
        <w:keepNext/>
        <w:spacing w:before="140" w:after="80"/>
      </w:pPr>
      <w:r>
        <w:rPr>
          <w:rFonts w:ascii="Arial" w:hAnsi="Arial" w:eastAsia="Arial"/>
          <w:b/>
          <w:color w:val="000000"/>
          <w:sz w:val="26"/>
        </w:rPr>
        <w:t>1.1 Premissas da primeira versão</w:t>
      </w:r>
    </w:p>
    <w:p>
      <w:pPr>
        <w:pStyle w:val="ListBullet"/>
        <w:spacing w:after="40"/>
      </w:pPr>
      <w:r>
        <w:rPr>
          <w:rFonts w:ascii="Arial" w:hAnsi="Arial" w:eastAsia="Arial"/>
          <w:color w:val="000000"/>
          <w:sz w:val="22"/>
        </w:rPr>
        <w:t>O backend será desenvolvido em .NET 10 seguindo Clean Architecture.</w:t>
      </w:r>
    </w:p>
    <w:p>
      <w:pPr>
        <w:pStyle w:val="ListBullet"/>
        <w:spacing w:after="40"/>
      </w:pPr>
      <w:r>
        <w:rPr>
          <w:rFonts w:ascii="Arial" w:hAnsi="Arial" w:eastAsia="Arial"/>
          <w:color w:val="000000"/>
          <w:sz w:val="22"/>
        </w:rPr>
        <w:t>O frontend será baseado em React; a estrutura específica será definida em decisão arquitetural.</w:t>
      </w:r>
    </w:p>
    <w:p>
      <w:pPr>
        <w:pStyle w:val="ListBullet"/>
        <w:spacing w:after="40"/>
      </w:pPr>
      <w:r>
        <w:rPr>
          <w:rFonts w:ascii="Arial" w:hAnsi="Arial" w:eastAsia="Arial"/>
          <w:color w:val="000000"/>
          <w:sz w:val="22"/>
        </w:rPr>
        <w:t>A primeira versão já terá autenticação por login e senha.</w:t>
      </w:r>
    </w:p>
    <w:p>
      <w:pPr>
        <w:pStyle w:val="ListBullet"/>
        <w:spacing w:after="40"/>
      </w:pPr>
      <w:r>
        <w:rPr>
          <w:rFonts w:ascii="Arial" w:hAnsi="Arial" w:eastAsia="Arial"/>
          <w:color w:val="000000"/>
          <w:sz w:val="22"/>
        </w:rPr>
        <w:t>A solução será preparada para múltiplos usuários, ainda que o desenvolvimento e uso inicial sejam individuais.</w:t>
      </w:r>
    </w:p>
    <w:p>
      <w:pPr>
        <w:pStyle w:val="ListBullet"/>
        <w:spacing w:after="40"/>
      </w:pPr>
      <w:r>
        <w:rPr>
          <w:rFonts w:ascii="Arial" w:hAnsi="Arial" w:eastAsia="Arial"/>
          <w:color w:val="000000"/>
          <w:sz w:val="22"/>
        </w:rPr>
        <w:t>O sistema terá os perfis Admin, Psicólogo, Coach e User.</w:t>
      </w:r>
    </w:p>
    <w:p>
      <w:pPr>
        <w:pStyle w:val="ListBullet"/>
        <w:spacing w:after="40"/>
      </w:pPr>
      <w:r>
        <w:rPr>
          <w:rFonts w:ascii="Arial" w:hAnsi="Arial" w:eastAsia="Arial"/>
          <w:color w:val="000000"/>
          <w:sz w:val="22"/>
        </w:rPr>
        <w:t>A inteligência artificial será usada somente para geração de textos; regras e decisões permanecem determinísticas no LifeQuest.</w:t>
      </w:r>
    </w:p>
    <w:p>
      <w:pPr>
        <w:pStyle w:val="ListBullet"/>
        <w:spacing w:after="40"/>
      </w:pPr>
      <w:r>
        <w:rPr>
          <w:rFonts w:ascii="Arial" w:hAnsi="Arial" w:eastAsia="Arial"/>
          <w:color w:val="000000"/>
          <w:sz w:val="22"/>
        </w:rPr>
        <w:t>As escolhas definitivas de banco relacional, banco NoSQL para conteúdo de IA e provedor de IA permanecem como decisões técnicas pendentes.</w:t>
      </w:r>
    </w:p>
    <w:p>
      <w:pPr>
        <w:pStyle w:val="Heading1"/>
        <w:keepNext/>
        <w:spacing w:before="200" w:after="80"/>
      </w:pPr>
      <w:r>
        <w:rPr>
          <w:rFonts w:ascii="Arial" w:hAnsi="Arial" w:eastAsia="Arial"/>
          <w:b/>
          <w:color w:val="000000"/>
          <w:sz w:val="32"/>
        </w:rPr>
        <w:t>2. Perfis e atores do sistema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35"/>
        <w:gridCol w:w="3135"/>
        <w:gridCol w:w="3135"/>
      </w:tblGrid>
      <w:tr>
        <w:trPr>
          <w:tblHeader w:val="true"/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Perfil</w:t>
            </w:r>
          </w:p>
        </w:tc>
        <w:tc>
          <w:tcPr>
            <w:tcW w:type="dxa" w:w="41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Finalidade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Limite de acesso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Admin</w:t>
            </w:r>
          </w:p>
        </w:tc>
        <w:tc>
          <w:tcPr>
            <w:tcW w:type="dxa" w:w="419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Administrar o sistema, usuários, permissões, configurações e suporte operacional.</w:t>
            </w:r>
          </w:p>
        </w:tc>
        <w:tc>
          <w:tcPr>
            <w:tcW w:type="dxa" w:w="396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Não substitui as regras de privacidade e auditoria. Ações administrativas devem ser rastreáveis.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Psicólogo</w:t>
            </w:r>
          </w:p>
        </w:tc>
        <w:tc>
          <w:tcPr>
            <w:tcW w:type="dxa" w:w="419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Criar e disponibilizar templates para pacientes vinculados e acessar somente informações autorizadas.</w:t>
            </w:r>
          </w:p>
        </w:tc>
        <w:tc>
          <w:tcPr>
            <w:tcW w:type="dxa" w:w="396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Não possui acesso global aos usuários. É obrigatório vínculo explícito com o paciente.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Coach</w:t>
            </w:r>
          </w:p>
        </w:tc>
        <w:tc>
          <w:tcPr>
            <w:tcW w:type="dxa" w:w="419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Visualizar templates autorizados do consultado e fornecer dicas ou orientações.</w:t>
            </w:r>
          </w:p>
        </w:tc>
        <w:tc>
          <w:tcPr>
            <w:tcW w:type="dxa" w:w="396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Não possui acesso global aos usuários. É obrigatório vínculo explícito com o consultado.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User</w:t>
            </w:r>
          </w:p>
        </w:tc>
        <w:tc>
          <w:tcPr>
            <w:tcW w:type="dxa" w:w="419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Utilizar o LifeQuest para gerenciar sua própria rotina, módulos, metas, temporadas e Roda da Vida.</w:t>
            </w:r>
          </w:p>
        </w:tc>
        <w:tc>
          <w:tcPr>
            <w:tcW w:type="dxa" w:w="396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Acessa seus próprios dados e controla vínculos concedidos a profissionais.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80"/>
      </w:pPr>
      <w:r>
        <w:rPr>
          <w:rFonts w:ascii="Arial" w:hAnsi="Arial" w:eastAsia="Arial"/>
          <w:b/>
          <w:color w:val="000000"/>
          <w:sz w:val="26"/>
        </w:rPr>
        <w:t>2.1 Regra de vínculo profissional</w:t>
      </w:r>
    </w:p>
    <w:p>
      <w:pPr>
        <w:spacing w:after="100" w:line="259" w:lineRule="auto"/>
      </w:pPr>
      <w:r>
        <w:rPr>
          <w:rFonts w:ascii="Arial" w:hAnsi="Arial" w:eastAsia="Arial"/>
          <w:color w:val="000000"/>
          <w:sz w:val="22"/>
        </w:rPr>
        <w:t>O perfil profissional, por si só, não concede acesso aos dados de outro usuário. Psicólogo e Coach dependem de um vínculo explícito entre contas, e o usuário deve poder revogar esse vínculo.</w:t>
      </w:r>
    </w:p>
    <w:p>
      <w:pPr>
        <w:pStyle w:val="ListBullet"/>
        <w:spacing w:after="40"/>
      </w:pPr>
      <w:r>
        <w:rPr>
          <w:rFonts w:ascii="Arial" w:hAnsi="Arial" w:eastAsia="Arial"/>
          <w:color w:val="000000"/>
          <w:sz w:val="22"/>
        </w:rPr>
        <w:t>O vínculo deve identificar profissional, usuário vinculado, tipo do vínculo, status e datas relevantes.</w:t>
      </w:r>
    </w:p>
    <w:p>
      <w:pPr>
        <w:pStyle w:val="ListBullet"/>
        <w:spacing w:after="40"/>
      </w:pPr>
      <w:r>
        <w:rPr>
          <w:rFonts w:ascii="Arial" w:hAnsi="Arial" w:eastAsia="Arial"/>
          <w:color w:val="000000"/>
          <w:sz w:val="22"/>
        </w:rPr>
        <w:t>O acesso deve ser limitado ao escopo autorizado pelo vínculo.</w:t>
      </w:r>
    </w:p>
    <w:p>
      <w:pPr>
        <w:pStyle w:val="ListBullet"/>
        <w:spacing w:after="40"/>
      </w:pPr>
      <w:r>
        <w:rPr>
          <w:rFonts w:ascii="Arial" w:hAnsi="Arial" w:eastAsia="Arial"/>
          <w:color w:val="000000"/>
          <w:sz w:val="22"/>
        </w:rPr>
        <w:t>A revogação do vínculo deve impedir novos acessos aos dados compartilhados, preservando o histórico de auditoria.</w:t>
      </w:r>
    </w:p>
    <w:p>
      <w:pPr>
        <w:pStyle w:val="ListBullet"/>
        <w:spacing w:after="40"/>
      </w:pPr>
      <w:r>
        <w:rPr>
          <w:rFonts w:ascii="Arial" w:hAnsi="Arial" w:eastAsia="Arial"/>
          <w:color w:val="000000"/>
          <w:sz w:val="22"/>
        </w:rPr>
        <w:t>Templates e orientações profissionais devem permanecer associados ao autor e ao usuário destinatário.</w:t>
      </w:r>
    </w:p>
    <w:p>
      <w:pPr>
        <w:pStyle w:val="Heading1"/>
        <w:keepNext/>
        <w:spacing w:before="200" w:after="80"/>
      </w:pPr>
      <w:r>
        <w:rPr>
          <w:rFonts w:ascii="Arial" w:hAnsi="Arial" w:eastAsia="Arial"/>
          <w:b/>
          <w:color w:val="000000"/>
          <w:sz w:val="32"/>
        </w:rPr>
        <w:t>3. Requisitos funcionais</w:t>
      </w:r>
    </w:p>
    <w:p>
      <w:pPr>
        <w:pStyle w:val="Heading2"/>
        <w:keepNext/>
        <w:spacing w:before="140" w:after="80"/>
      </w:pPr>
      <w:r>
        <w:rPr>
          <w:rFonts w:ascii="Arial" w:hAnsi="Arial" w:eastAsia="Arial"/>
          <w:b/>
          <w:color w:val="000000"/>
          <w:sz w:val="26"/>
        </w:rPr>
        <w:t>3.1 Autenticação, perfil e autorização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35"/>
        <w:gridCol w:w="3135"/>
        <w:gridCol w:w="3135"/>
      </w:tblGrid>
      <w:tr>
        <w:trPr>
          <w:tblHeader w:val="true"/>
          <w:cantSplit/>
        </w:trPr>
        <w:tc>
          <w:tcPr>
            <w:tcW w:type="dxa" w:w="9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ID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Requisito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Critério / Regra principal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RF-001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Autenticar usuário com login e senha.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Somente credenciais válidas permitem acesso às funcionalidades protegidas.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RF-002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Encerrar a sessão do usuário.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Após logout, recursos protegidos não devem permanecer acessíveis pela sessão encerrada.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RF-003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Identificar o perfil de acesso da conta.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O sistema deve reconhecer Admin, Psicólogo, Coach e User para aplicar autorização.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RF-004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Aplicar autorização por perfil e vínculo.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Psicólogo e Coach só acessam dados de usuários explicitamente vinculados e autorizados.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RF-005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Permitir ao User consultar seus vínculos profissionais.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A tela deve identificar profissionais vinculados e o status de cada vínculo.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RF-006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Permitir revogação de vínculo pelo User.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A revogação bloqueia novos acessos do profissional ao escopo anteriormente concedido.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RF-007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Registrar auditoria de acessos profissionais relevantes.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A aplicação deve manter rastreabilidade suficiente para identificar quem acessou ou alterou conteúdo compartilhado.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80"/>
      </w:pPr>
      <w:r>
        <w:rPr>
          <w:rFonts w:ascii="Arial" w:hAnsi="Arial" w:eastAsia="Arial"/>
          <w:b/>
          <w:color w:val="000000"/>
          <w:sz w:val="26"/>
        </w:rPr>
        <w:t>3.2 Perfil e autoavaliação inicial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35"/>
        <w:gridCol w:w="3135"/>
        <w:gridCol w:w="3135"/>
      </w:tblGrid>
      <w:tr>
        <w:trPr>
          <w:tblHeader w:val="true"/>
          <w:cantSplit/>
        </w:trPr>
        <w:tc>
          <w:tcPr>
            <w:tcW w:type="dxa" w:w="9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ID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Requisito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Critério / Regra principal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RF-010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Manter perfil básico do usuário.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O perfil deve suportar dados necessários à experiência e às configurações do LifeQuest.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RF-011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Executar autoavaliação inicial da Roda da Vida.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O usuário deve atribuir uma pontuação inicial de 0 a 100 para cada uma das 12 áreas.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RF-012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Persistir as pontuações iniciais como ponto de partida.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As pontuações devem compor o histórico e não ser tratadas como XP ou conquistas.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RF-013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Permitir ocultar ou renomear áreas conforme regras do produto.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A estrutura-base das áreas deve permanecer consistente para histórico e cálculos.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80"/>
      </w:pPr>
      <w:r>
        <w:rPr>
          <w:rFonts w:ascii="Arial" w:hAnsi="Arial" w:eastAsia="Arial"/>
          <w:b/>
          <w:color w:val="000000"/>
          <w:sz w:val="26"/>
        </w:rPr>
        <w:t>3.3 Roda da Vida</w:t>
      </w:r>
    </w:p>
    <w:p>
      <w:pPr>
        <w:spacing w:after="100" w:line="259" w:lineRule="auto"/>
      </w:pPr>
      <w:r>
        <w:rPr>
          <w:rFonts w:ascii="Arial" w:hAnsi="Arial" w:eastAsia="Arial"/>
          <w:color w:val="000000"/>
          <w:sz w:val="22"/>
        </w:rPr>
        <w:t>Áreas oficiais: Saúde e Disposição; Desenvolvimento Intelectual; Equilíbrio Emocional; Realização e Propósito; Saúde Financeira; Contribuição Social; Família; Relacionamento Amoroso; Vida Social e Amizades; Lazer, Hobbies e Diversão; Plenitude e Felicidade; Espiritualidade.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35"/>
        <w:gridCol w:w="3135"/>
        <w:gridCol w:w="3135"/>
      </w:tblGrid>
      <w:tr>
        <w:trPr>
          <w:tblHeader w:val="true"/>
          <w:cantSplit/>
        </w:trPr>
        <w:tc>
          <w:tcPr>
            <w:tcW w:type="dxa" w:w="9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ID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Requisito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Critério / Regra principal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RF-020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Exibir a Roda da Vida em escala de 0 a 100.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Cada área deve apresentar a pontuação atual e permitir comparação com o histórico.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RF-021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Permitir que uma meta contribua para múltiplas áreas.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A meta deve possuir uma área principal e pode distribuir os pontos gerados entre outras áreas.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RF-022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Solicitar pesos de distribuição na conclusão da meta quando houver múltiplas áreas.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Os pesos definidos pelo usuário devem totalizar 100% antes da distribuição.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RF-023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Limitar cada área ao máximo de 100 pontos.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Pontos excedentes são descartados na Roda da Vida, mas o XP aplicável continua sendo concedido.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RF-024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Aplicar perda por inatividade.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Após 7 dias completos sem atividade na área, deve ocorrer perda de 1 ponto por semana inativa.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RF-025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Reiniciar inatividade apenas da área principal.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Uma atividade vinculada a várias áreas reinicia somente o contador de inatividade da área principal.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RF-026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Permitir valores decimais de pontuação.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Os cálculos podem resultar em casas decimais; o sistema deve preservá-las.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RF-027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Impedir pontuação negativa.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A pontuação mínima de qualquer área é zero.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RF-028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Aplicar inatividade independentemente de login.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A ausência de acesso ao sistema não suspende a contagem de inatividade.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RF-029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Manter histórico da Roda da Vida.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O sistema deve permitir visualizar evolução por período e entre temporadas.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80"/>
      </w:pPr>
      <w:r>
        <w:rPr>
          <w:rFonts w:ascii="Arial" w:hAnsi="Arial" w:eastAsia="Arial"/>
          <w:b/>
          <w:color w:val="000000"/>
          <w:sz w:val="26"/>
        </w:rPr>
        <w:t>3.4 Módulos e categorias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35"/>
        <w:gridCol w:w="3135"/>
        <w:gridCol w:w="3135"/>
      </w:tblGrid>
      <w:tr>
        <w:trPr>
          <w:tblHeader w:val="true"/>
          <w:cantSplit/>
        </w:trPr>
        <w:tc>
          <w:tcPr>
            <w:tcW w:type="dxa" w:w="9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ID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Requisito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Critério / Regra principal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RF-030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Criar módulo personalizado.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O usuário informa ao menos nome e estrutura de metas; detalhes visuais e descritivos podem ser opcionais.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RF-031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Exigir no mínimo 3 metas obrigatórias por módulo.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O módulo não pode ser considerado válido para acompanhamento sem cumprir esse mínimo.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RF-032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Permitir metas opcionais no módulo.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Metas opcionais não impedem a conclusão do módulo.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RF-033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Permitir uso opcional de categorias.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O usuário pode organizar metas em categorias ou mantê-las diretamente no módulo.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RF-034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Editar módulo enquanto regras históricas forem preservadas.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Alterações não podem reescrever pontuações, XP ou conclusões já registradas.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RF-035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Excluir módulo sem histórico.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A exclusão definitiva é permitida apenas quando não existir histórico relevante associado.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RF-036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Arquivar módulo com histórico.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Módulos com progresso, XP, conquistas ou registros devem ser arquivados em vez de excluídos.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RF-037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Concluir módulo quando 100% das metas obrigatórias atenderem seus critérios.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Metas recorrentes obrigatórias devem ter alcançado o marco configurado como necessário.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RF-038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Gerar conquista pela conclusão do módulo.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A conquista deve ser permanente e associada ao módulo e à temporada correspondente.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80"/>
      </w:pPr>
      <w:r>
        <w:rPr>
          <w:rFonts w:ascii="Arial" w:hAnsi="Arial" w:eastAsia="Arial"/>
          <w:b/>
          <w:color w:val="000000"/>
          <w:sz w:val="26"/>
        </w:rPr>
        <w:t>3.5 Metas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35"/>
        <w:gridCol w:w="3135"/>
        <w:gridCol w:w="3135"/>
      </w:tblGrid>
      <w:tr>
        <w:trPr>
          <w:tblHeader w:val="true"/>
          <w:cantSplit/>
        </w:trPr>
        <w:tc>
          <w:tcPr>
            <w:tcW w:type="dxa" w:w="9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ID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Requisito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Critério / Regra principal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RF-040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Criar meta fixa ou recorrente.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O comportamento da meta deve ser definido pelo tipo escolhido.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RF-041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Permitir natureza flexível da meta.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Livro, curso, certificação, atividade física, dieta e outros objetivos são naturezas da meta, não entidades principais separadas.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RF-042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Definir meta como obrigatória ou opcional dentro do módulo.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A obrigatoriedade influencia o critério de conclusão do módulo.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RF-043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Associar área principal e áreas adicionais da Roda da Vida.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A área principal também controla a regra de reinício da inatividade.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RF-044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Permitir uma única recompensa por meta.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A meta não pode possuir duas recompensas simultâneas.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RF-045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Suportar progresso por tempo, dificuldade, complexidade e quantidade.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Os campos aplicáveis dependem da natureza da meta.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RF-046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Permitir descrição e observações.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Campos não calculados permanecem editáveis conforme as regras de histórico.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RF-047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Bloquear campos calculáveis após conclusão.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Tempo, dificuldade, complexidade, quantidade, páginas, pesos e outros dados que alterem XP ou pontuação não podem ser reescritos após conclusão.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RF-048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Gerar conquista pela conclusão de meta fixa.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A conquista deve ser permanente e vinculada ao evento de conclusão.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RF-049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Arquivar meta com histórico em vez de excluí-la.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Exclusão definitiva só é permitida quando não houver histórico relevante.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80"/>
      </w:pPr>
      <w:r>
        <w:rPr>
          <w:rFonts w:ascii="Arial" w:hAnsi="Arial" w:eastAsia="Arial"/>
          <w:b/>
          <w:color w:val="000000"/>
          <w:sz w:val="26"/>
        </w:rPr>
        <w:t>3.6 Metas recorrentes, ciclos e constância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35"/>
        <w:gridCol w:w="3135"/>
        <w:gridCol w:w="3135"/>
      </w:tblGrid>
      <w:tr>
        <w:trPr>
          <w:tblHeader w:val="true"/>
          <w:cantSplit/>
        </w:trPr>
        <w:tc>
          <w:tcPr>
            <w:tcW w:type="dxa" w:w="9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ID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Requisito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Critério / Regra principal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RF-050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Controlar ciclos de metas recorrentes.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Cada ciclo deve registrar período, progresso, conclusão e recompensa quando aplicável.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RF-051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Considerar ciclo concluído somente ao atingir 100% do critério.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A recompensa recorrente é liberada apenas em ciclo concluído integralmente.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RF-052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Controlar sequência de dias ativos.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Um dia completo sem atividade esperada reinicia a sequência atual para zero.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RF-053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Preservar histórico ao zerar sequência.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Pontos, XP, badges, marcos e maior sequência anterior não são removidos.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RF-054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Suportar marcos Bronze, Prata e Ouro.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Os marcos devem possuir critérios progressivos configurados para a meta recorrente.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RF-055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Permitir configurar requisito de conclusão da meta recorrente no módulo.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O usuário escolhe se basta atingir um marco ou se todos os marcos são exigidos para liberar a conclusão do módulo.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RF-056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Permitir continuidade após atingir o marco necessário.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A meta pode continuar ativa, mas deixa de impedir a conclusão do módulo.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RF-057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Gerar badge por ciclos e marcos relevantes.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Badges já conquistados são permanentes.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RF-058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Liberar a mesma recompensa a cada ciclo concluído.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A recompensa da meta recorrente é reutilizada em cada ciclo concluído em 100%.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RF-059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Bloquear edição de recompensa de marco a partir de 70% do progresso.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Abaixo de 70%, a recompensa de marco ainda pode ser alterada pelo usuário.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80"/>
      </w:pPr>
      <w:r>
        <w:rPr>
          <w:rFonts w:ascii="Arial" w:hAnsi="Arial" w:eastAsia="Arial"/>
          <w:b/>
          <w:color w:val="000000"/>
          <w:sz w:val="26"/>
        </w:rPr>
        <w:t>3.7 Registro de progresso e retroatividade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35"/>
        <w:gridCol w:w="3135"/>
        <w:gridCol w:w="3135"/>
      </w:tblGrid>
      <w:tr>
        <w:trPr>
          <w:tblHeader w:val="true"/>
          <w:cantSplit/>
        </w:trPr>
        <w:tc>
          <w:tcPr>
            <w:tcW w:type="dxa" w:w="9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ID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Requisito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Critério / Regra principal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RF-060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Registrar progresso vinculado a uma meta.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O registro deve conter data e os campos aplicáveis à natureza da meta.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RF-061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Registrar tempo em horas e minutos.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Minutos devem ser convertidos proporcionalmente para cálculos baseados em horas.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RF-062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Permitir observações sobre o progresso.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O usuário pode registrar compreensão, resumo ou outra informação não calculada quando aplicável.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RF-063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Permitir registro retroativo somente para atividades recorrentes/rotativas.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Metas fixas e eventos que não sejam de recorrência não recebem retroatividade pelo fluxo padrão.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RF-064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Limitar retroatividade a 7 dias.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Registros anteriores ao limite não podem ser inseridos como atividade retroativa comum.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RF-065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Recalcular efeitos de registro retroativo válido.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O sistema deve recalcular sequência, pontos, badges e demais impactos afetados no período.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RF-066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Impedir duplicidade indevida de registros.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A validação deve considerar a regra da meta e o período do ciclo.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80"/>
      </w:pPr>
      <w:r>
        <w:rPr>
          <w:rFonts w:ascii="Arial" w:hAnsi="Arial" w:eastAsia="Arial"/>
          <w:b/>
          <w:color w:val="000000"/>
          <w:sz w:val="26"/>
        </w:rPr>
        <w:t>3.8 Cálculos de pontuação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35"/>
        <w:gridCol w:w="3135"/>
        <w:gridCol w:w="3135"/>
      </w:tblGrid>
      <w:tr>
        <w:trPr>
          <w:tblHeader w:val="true"/>
          <w:cantSplit/>
        </w:trPr>
        <w:tc>
          <w:tcPr>
            <w:tcW w:type="dxa" w:w="9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ID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Requisito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Critério / Regra principal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RF-070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Calcular pontuação por tempo e dificuldade.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Pontos = horas investidas x multiplicador de dificuldade de 1,1 a 1,5.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RF-071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Converter dificuldade de 1 a 5.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Dificuldade 1=1,1; 2=1,2; 3=1,3; 4=1,4; 5=1,5.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RF-072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Calcular atividade física considerando tempo, intensidade e dias ativos.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Pontos = (horas x fator de intensidade) + fator da sequência de dias ativos.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RF-073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Converter intensidade de 1 a 10 para fator de 0,1 a 1,0.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O mapeamento deve ser proporcional e determinístico.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RF-074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Converter sequência de dias ativos para fator de 0,1 a 1,0.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De 1 a 10 dias consecutivos, o fator cresce de 0,1 a 1,0; acima disso permanece limitado para esse cálculo.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RF-075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Calcular leitura por páginas.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Cada 50 páginas equivalem a 1 ponto; páginas restantes geram fração proporcional.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RF-076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Calcular certificação por complexidade.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Complexidade de 1 a 5 concede de 1 a 5 pontos na regra correspondente.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RF-077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Calcular constância em escala de 0,1 a 1,0.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Dieta e outras metas de constância usam o grau de cumprimento do ciclo.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RF-078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Centralizar as fórmulas no domínio.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O usuário não define livremente XP ou fórmulas de pontuação; o sistema controla os multiplicadores.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80"/>
      </w:pPr>
      <w:r>
        <w:rPr>
          <w:rFonts w:ascii="Arial" w:hAnsi="Arial" w:eastAsia="Arial"/>
          <w:b/>
          <w:color w:val="000000"/>
          <w:sz w:val="26"/>
        </w:rPr>
        <w:t>3.9 XP e níveis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35"/>
        <w:gridCol w:w="3135"/>
        <w:gridCol w:w="3135"/>
      </w:tblGrid>
      <w:tr>
        <w:trPr>
          <w:tblHeader w:val="true"/>
          <w:cantSplit/>
        </w:trPr>
        <w:tc>
          <w:tcPr>
            <w:tcW w:type="dxa" w:w="9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ID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Requisito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Critério / Regra principal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RF-080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Manter XP atual separado do histórico total.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A barra de XP atual representa somente o progresso para o próximo nível.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RF-081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Exigir nível atual x 100 XP para subir.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Do nível 1 para 2: 100 XP; do 2 para 3: 200 XP; e assim sucessivamente.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RF-082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Zerar XP atual ao subir de nível.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O histórico de XP recebido continua preservado.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RF-083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Limitar nível da temporada a 100.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XP posterior pode ser registrado conforme regra de histórico, mas não deve gerar nível acima de 100.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RF-084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Calcular XP de certificação por complexidade.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XP = 10 x nível de complexidade, resultando de 10 a 50 XP.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RF-085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Calcular XP de outras metas conforme sua natureza.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Tempo, dificuldade, complexidade, constância e marcos devem seguir regras determinísticas do domínio.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RF-086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Registrar transações de XP.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O histórico deve permitir identificar origem, valor, data, temporada e referência do evento.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80"/>
      </w:pPr>
      <w:r>
        <w:rPr>
          <w:rFonts w:ascii="Arial" w:hAnsi="Arial" w:eastAsia="Arial"/>
          <w:b/>
          <w:color w:val="000000"/>
          <w:sz w:val="26"/>
        </w:rPr>
        <w:t>3.10 Títulos, conquistas e badges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35"/>
        <w:gridCol w:w="3135"/>
        <w:gridCol w:w="3135"/>
      </w:tblGrid>
      <w:tr>
        <w:trPr>
          <w:tblHeader w:val="true"/>
          <w:cantSplit/>
        </w:trPr>
        <w:tc>
          <w:tcPr>
            <w:tcW w:type="dxa" w:w="9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ID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Requisito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Critério / Regra principal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RF-090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Conceder título nos níveis 20, 40, 60, 80 e 100.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O texto pode ser personalizado por IA, mas o gatilho é determinado pelo sistema.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RF-091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Conceder título ao elevar acima de 80 uma área que iniciou abaixo de 80.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Áreas iniciadas em 80 ou mais não geram esse título automaticamente.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RF-092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Conceder título por grande marco de constância.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O gatilho deve ser previamente reconhecido pelo domínio.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RF-093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Conceder título quando todos os módulos planejados da temporada forem finalizados.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O sistema determina a condição; a IA apenas gera o texto do título.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RF-094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Conceder título no encerramento da temporada.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O título final deve ser breve, impactante e baseado na trajetória registrada.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RF-095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Conceder conquista por meta fixa concluída.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A conquista é permanente.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RF-096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Conceder conquista por módulo concluído.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A conquista é permanente e representa um feito de maior abrangência.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RF-097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Conceder badges por constância, ciclos e marcos recorrentes.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Badges são permanentes.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RF-098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Não retirar títulos, conquistas ou badges.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Quedas posteriores de pontuação ou sequência não removem itens já conquistados.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80"/>
      </w:pPr>
      <w:r>
        <w:rPr>
          <w:rFonts w:ascii="Arial" w:hAnsi="Arial" w:eastAsia="Arial"/>
          <w:b/>
          <w:color w:val="000000"/>
          <w:sz w:val="26"/>
        </w:rPr>
        <w:t>3.11 Recompensas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35"/>
        <w:gridCol w:w="3135"/>
        <w:gridCol w:w="3135"/>
      </w:tblGrid>
      <w:tr>
        <w:trPr>
          <w:tblHeader w:val="true"/>
          <w:cantSplit/>
        </w:trPr>
        <w:tc>
          <w:tcPr>
            <w:tcW w:type="dxa" w:w="9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ID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Requisito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Critério / Regra principal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RF-100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Manter uma recompensa por meta.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A recompensa é definida pelo usuário dentro das restrições do tipo da meta.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RF-101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Controlar os estados Bloqueada, Disponível, Resgatada e Expirada.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Expirada só se aplica quando houver prazo definido pelo usuário.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RF-102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Liberar recompensa quando o critério for atendido.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O sistema deve registrar a origem da liberação.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RF-103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Permitir marcar recompensa como resgatada.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O resgate deve permanecer no histórico.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RF-104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Aplicar prazo de validade quando configurado.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Ao ultrapassar o prazo, a recompensa disponível passa para Expirada.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RF-105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Aplicar regra específica de recompensa em meta recorrente.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A mesma recompensa é disponibilizada a cada ciclo concluído integralmente.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80"/>
      </w:pPr>
      <w:r>
        <w:rPr>
          <w:rFonts w:ascii="Arial" w:hAnsi="Arial" w:eastAsia="Arial"/>
          <w:b/>
          <w:color w:val="000000"/>
          <w:sz w:val="26"/>
        </w:rPr>
        <w:t>3.12 Temporadas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35"/>
        <w:gridCol w:w="3135"/>
        <w:gridCol w:w="3135"/>
      </w:tblGrid>
      <w:tr>
        <w:trPr>
          <w:tblHeader w:val="true"/>
          <w:cantSplit/>
        </w:trPr>
        <w:tc>
          <w:tcPr>
            <w:tcW w:type="dxa" w:w="9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ID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Requisito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Critério / Regra principal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RF-110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Operar temporadas anuais de 1º de janeiro a 31 de dezembro.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A temporada vigente independe da data de cadastro do usuário.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RF-111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Associar XP, nível, módulos e eventos à temporada.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O histórico deve permitir consulta por ano.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RF-112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Encerrar a temporada automaticamente ao final do ano.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O encerramento não pode depender da disponibilidade da IA.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RF-113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Reiniciar nível e XP atual na nova temporada.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Títulos, conquistas, badges e histórico permanecem preservados.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RF-114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Apresentar revisão dos módulos e metas na transição.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O usuário escolhe o que manter, arquivar, substituir ou criar para a nova temporada.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RF-115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Permitir levar módulos individualmente.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O usuário pode manter alguns módulos e deixar outros somente no histórico anterior.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RF-116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Permitir selecionar metas dentro de módulos mantidos.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O usuário não é obrigado a levar todas as metas de um módulo.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RF-117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Tratar meta fixa em andamento na virada.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O usuário escolhe continuar do progresso atual ou reiniciar a meta.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RF-118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Tratar meta recorrente na virada.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O progresso da nova temporada é zerado, preservando o histórico geral e conquistas anteriores.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RF-119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Gerar retrospectiva textual da temporada.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Quando a IA estiver disponível, o texto deve reconhecer feitos e, em anos abaixo do esperado, encorajar com linguagem alinhada à Comunicação Não Violenta.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80"/>
      </w:pPr>
      <w:r>
        <w:rPr>
          <w:rFonts w:ascii="Arial" w:hAnsi="Arial" w:eastAsia="Arial"/>
          <w:b/>
          <w:color w:val="000000"/>
          <w:sz w:val="26"/>
        </w:rPr>
        <w:t>3.13 Dashboard e calendário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35"/>
        <w:gridCol w:w="3135"/>
        <w:gridCol w:w="3135"/>
      </w:tblGrid>
      <w:tr>
        <w:trPr>
          <w:tblHeader w:val="true"/>
          <w:cantSplit/>
        </w:trPr>
        <w:tc>
          <w:tcPr>
            <w:tcW w:type="dxa" w:w="9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ID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Requisito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Critério / Regra principal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RF-120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Exibir nível e XP atual no dashboard.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Deve ser visível a relação entre XP atual e XP necessário para o próximo nível.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RF-121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Exibir título atual.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O dashboard apresenta o título ativo ou mais recente conforme a regra de produto.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RF-122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Exibir mensagem de IA ou fallback.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A indisponibilidade da IA não pode bloquear o dashboard.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RF-123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Exibir Roda da Vida.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A visualização deve permitir perceber equilíbrio e áreas que exigem atenção.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RF-124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Exibir metas em andamento.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Priorizar itens relevantes ao ciclo atual e ao progresso do usuário.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RF-125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Exibir módulos ativos.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Apresentar progresso resumido de cada módulo.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RF-126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Exibir sequência atual.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Mostrar a sequência relacionada às metas de constância aplicáveis.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RF-127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Exibir calendário resumido.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Permitir navegação para registros e atividades do período.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RF-128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Exibir recompensas disponíveis.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O usuário deve identificar recompensas liberadas e ainda não resgatadas.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RF-129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Disponibilizar calendário mensal e/ou semanal.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O calendário deve mostrar atividades, prazos e registros aplicáveis.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80"/>
      </w:pPr>
      <w:r>
        <w:rPr>
          <w:rFonts w:ascii="Arial" w:hAnsi="Arial" w:eastAsia="Arial"/>
          <w:b/>
          <w:color w:val="000000"/>
          <w:sz w:val="26"/>
        </w:rPr>
        <w:t>3.14 Templates e atuação de Psicólogo e Coach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35"/>
        <w:gridCol w:w="3135"/>
        <w:gridCol w:w="3135"/>
      </w:tblGrid>
      <w:tr>
        <w:trPr>
          <w:tblHeader w:val="true"/>
          <w:cantSplit/>
        </w:trPr>
        <w:tc>
          <w:tcPr>
            <w:tcW w:type="dxa" w:w="9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ID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Requisito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Critério / Regra principal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RF-130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Permitir ao Psicólogo criar templates.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Templates podem estruturar conteúdos a serem disponibilizados a pacientes vinculados.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RF-131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Permitir ao Psicólogo disponibilizar template a paciente vinculado.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O destinatário deve ser explicitamente identificado e autorizado no vínculo.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RF-132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Permitir ao User visualizar e utilizar template recebido.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A aplicação deve preservar a origem do template e permitir adaptação conforme regras futuras do produto.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RF-133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Permitir ao Coach visualizar template autorizado do consultado.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Somente templates e informações previstas no escopo do vínculo ficam acessíveis.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RF-134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Permitir ao Coach registrar dicas ou orientações.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As dicas devem ficar associadas ao Coach, ao usuário e ao contexto/template correspondente.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RF-135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Bloquear acesso após revogação do vínculo.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Conteúdos já auditados permanecem no histórico, mas novos acessos são negados.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80"/>
      </w:pPr>
      <w:r>
        <w:rPr>
          <w:rFonts w:ascii="Arial" w:hAnsi="Arial" w:eastAsia="Arial"/>
          <w:b/>
          <w:color w:val="000000"/>
          <w:sz w:val="26"/>
        </w:rPr>
        <w:t>3.15 Inteligência artificial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35"/>
        <w:gridCol w:w="3135"/>
        <w:gridCol w:w="3135"/>
      </w:tblGrid>
      <w:tr>
        <w:trPr>
          <w:tblHeader w:val="true"/>
          <w:cantSplit/>
        </w:trPr>
        <w:tc>
          <w:tcPr>
            <w:tcW w:type="dxa" w:w="9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ID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Requisito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Critério / Regra principal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RF-140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Usar IA somente para criação de textos.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A IA não pode decidir XP, pontuação, conclusão, desbloqueio, recompensa ou regra de negócio.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RF-141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Gerar textos apenas em eventos definidos.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Chamadas devem ocorrer em conclusões e momentos específicos, evitando consultas contínuas desnecessárias.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RF-142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Salvar o resultado de uma geração bem-sucedida.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Após gerar e persistir o texto, o mesmo evento não deve solicitar regeneração.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RF-143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Não permitir regeneração manual de texto já concluído.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O conteúdo bem-sucedido permanece como registro histórico daquele evento.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RF-144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Permitir nova tentativa somente após falha técnica.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Uma chamada que falhou pode ser repetida até a primeira geração bem-sucedida.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RF-145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Aplicar fallback genérico onde for aceitável.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Mensagens simples de conclusão e entrada podem usar templates determinísticos quando a IA estiver indisponível.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RF-146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Não substituir retrospectiva e título final por conteúdo definitivo genérico.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Esses conteúdos podem ficar pendentes até a primeira geração bem-sucedida sem bloquear o encerramento da temporada.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RF-147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Enviar somente dados necessários ao caso de uso.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A integração deve minimizar dados pessoais e respeitar regras de privacidade e consentimento.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RF-148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Persistir conteúdo de IA em armazenamento específico.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A tecnologia NoSQL será definida entre MongoDB e Azure Cosmos DB.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RF-149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Registrar metadados de geração.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Guardar evento, referência, status, provedor/modelo quando aplicável, data e falhas técnicas relevantes.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80"/>
      </w:pPr>
      <w:r>
        <w:rPr>
          <w:rFonts w:ascii="Arial" w:hAnsi="Arial" w:eastAsia="Arial"/>
          <w:b/>
          <w:color w:val="000000"/>
          <w:sz w:val="26"/>
        </w:rPr>
        <w:t>3.16 Histórico e integridade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35"/>
        <w:gridCol w:w="3135"/>
        <w:gridCol w:w="3135"/>
      </w:tblGrid>
      <w:tr>
        <w:trPr>
          <w:tblHeader w:val="true"/>
          <w:cantSplit/>
        </w:trPr>
        <w:tc>
          <w:tcPr>
            <w:tcW w:type="dxa" w:w="9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ID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Requisito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Critério / Regra principal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RF-150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Preservar histórico de temporadas.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Eventos de temporadas anteriores não podem ser sobrescritos pela temporada atual.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RF-151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Preservar histórico de XP e pontuação.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Alterações futuras nas fórmulas não devem reescrever automaticamente resultados históricos já consolidados.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RF-152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Preservar histórico de conquistas, badges e títulos.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Itens conquistados permanecem visíveis e associados ao momento em que foram obtidos.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RF-153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Preservar registros de arquivamento.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Módulos e metas arquivados continuam disponíveis para consultas históricas.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RF-154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Garantir consistência em operações de cálculo.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XP, pontos, recompensa e desbloqueios gerados pelo mesmo evento devem manter coerência transacional.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RF-155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Registrar data e origem dos principais eventos.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Conclusões, XP, pontos, níveis, recompensas e gamificação devem ser auditáveis no histórico do usuário.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Arial" w:hAnsi="Arial" w:eastAsia="Arial"/>
          <w:b/>
          <w:color w:val="000000"/>
          <w:sz w:val="32"/>
        </w:rPr>
        <w:t>4. Requisitos não funcionais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35"/>
        <w:gridCol w:w="3135"/>
        <w:gridCol w:w="3135"/>
      </w:tblGrid>
      <w:tr>
        <w:trPr>
          <w:tblHeader w:val="true"/>
          <w:cantSplit/>
        </w:trP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ID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Categoria</w:t>
            </w:r>
          </w:p>
        </w:tc>
        <w:tc>
          <w:tcPr>
            <w:tcW w:type="dxa" w:w="6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Requisito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RNF-001</w:t>
            </w:r>
          </w:p>
        </w:tc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Backend</w:t>
            </w:r>
          </w:p>
        </w:tc>
        <w:tc>
          <w:tcPr>
            <w:tcW w:type="dxa" w:w="61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A API deve ser desenvolvida em .NET 10.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RNF-002</w:t>
            </w:r>
          </w:p>
        </w:tc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Arquitetura</w:t>
            </w:r>
          </w:p>
        </w:tc>
        <w:tc>
          <w:tcPr>
            <w:tcW w:type="dxa" w:w="61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A solução deve seguir Clean Architecture, isolando domínio, aplicação, infraestrutura e apresentação.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RNF-003</w:t>
            </w:r>
          </w:p>
        </w:tc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Frontend</w:t>
            </w:r>
          </w:p>
        </w:tc>
        <w:tc>
          <w:tcPr>
            <w:tcW w:type="dxa" w:w="61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A interface web deve utilizar React, com abordagem responsiva.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RNF-004</w:t>
            </w:r>
          </w:p>
        </w:tc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API</w:t>
            </w:r>
          </w:p>
        </w:tc>
        <w:tc>
          <w:tcPr>
            <w:tcW w:type="dxa" w:w="61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A comunicação principal deve utilizar API REST com documentação OpenAPI/Swagger.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RNF-005</w:t>
            </w:r>
          </w:p>
        </w:tc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Persistência relacional</w:t>
            </w:r>
          </w:p>
        </w:tc>
        <w:tc>
          <w:tcPr>
            <w:tcW w:type="dxa" w:w="61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O acesso ao domínio deve ser abstraído da tecnologia concreta; a escolha final entre MariaDB e MySQL será registrada em ADR.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RNF-006</w:t>
            </w:r>
          </w:p>
        </w:tc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Persistência de IA</w:t>
            </w:r>
          </w:p>
        </w:tc>
        <w:tc>
          <w:tcPr>
            <w:tcW w:type="dxa" w:w="61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O armazenamento de conteúdo gerado por IA será NoSQL; a escolha entre MongoDB e Azure Cosmos DB será registrada em ADR.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RNF-007</w:t>
            </w:r>
          </w:p>
        </w:tc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Segurança</w:t>
            </w:r>
          </w:p>
        </w:tc>
        <w:tc>
          <w:tcPr>
            <w:tcW w:type="dxa" w:w="61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Senhas devem ser armazenadas de forma segura e nunca em texto puro.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RNF-008</w:t>
            </w:r>
          </w:p>
        </w:tc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Autorização</w:t>
            </w:r>
          </w:p>
        </w:tc>
        <w:tc>
          <w:tcPr>
            <w:tcW w:type="dxa" w:w="61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Toda operação protegida deve validar identidade, perfil e vínculo quando aplicável.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RNF-009</w:t>
            </w:r>
          </w:p>
        </w:tc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Privacidade</w:t>
            </w:r>
          </w:p>
        </w:tc>
        <w:tc>
          <w:tcPr>
            <w:tcW w:type="dxa" w:w="61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O sistema deve aplicar minimização de dados, consentimento e segregação de acesso, especialmente em conteúdos pessoais e sensíveis.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RNF-010</w:t>
            </w:r>
          </w:p>
        </w:tc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Auditoria</w:t>
            </w:r>
          </w:p>
        </w:tc>
        <w:tc>
          <w:tcPr>
            <w:tcW w:type="dxa" w:w="61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Ações administrativas e acessos profissionais relevantes devem possuir rastreabilidade.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RNF-011</w:t>
            </w:r>
          </w:p>
        </w:tc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Testabilidade</w:t>
            </w:r>
          </w:p>
        </w:tc>
        <w:tc>
          <w:tcPr>
            <w:tcW w:type="dxa" w:w="61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Regras de XP, Roda da Vida, inatividade, temporadas e gamificação devem ser testáveis sem depender da interface ou de serviços externos.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RNF-012</w:t>
            </w:r>
          </w:p>
        </w:tc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Disponibilidade da IA</w:t>
            </w:r>
          </w:p>
        </w:tc>
        <w:tc>
          <w:tcPr>
            <w:tcW w:type="dxa" w:w="61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Falhas no provedor de IA não podem impedir login, registros, cálculos, conclusão de metas ou encerramento de temporada.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RNF-013</w:t>
            </w:r>
          </w:p>
        </w:tc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Portabilidade</w:t>
            </w:r>
          </w:p>
        </w:tc>
        <w:tc>
          <w:tcPr>
            <w:tcW w:type="dxa" w:w="61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Integrações de banco e IA devem ser encapsuladas por interfaces para permitir substituição futura.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RNF-014</w:t>
            </w:r>
          </w:p>
        </w:tc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Cloud readiness</w:t>
            </w:r>
          </w:p>
        </w:tc>
        <w:tc>
          <w:tcPr>
            <w:tcW w:type="dxa" w:w="61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A aplicação deve poder ser containerizada e preparada para implantação futura em cloud.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RNF-015</w:t>
            </w:r>
          </w:p>
        </w:tc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Desempenho</w:t>
            </w:r>
          </w:p>
        </w:tc>
        <w:tc>
          <w:tcPr>
            <w:tcW w:type="dxa" w:w="61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Operações comuns do usuário devem evitar chamadas desnecessárias a serviços externos e cálculos repetidos sem necessidade.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RNF-016</w:t>
            </w:r>
          </w:p>
        </w:tc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Manutenibilidade</w:t>
            </w:r>
          </w:p>
        </w:tc>
        <w:tc>
          <w:tcPr>
            <w:tcW w:type="dxa" w:w="61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A documentação e a solução devem permanecer enxutas e adequadas a desenvolvimento solo, evitando abstrações sem necessidade atual.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RNF-017</w:t>
            </w:r>
          </w:p>
        </w:tc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Observabilidade</w:t>
            </w:r>
          </w:p>
        </w:tc>
        <w:tc>
          <w:tcPr>
            <w:tcW w:type="dxa" w:w="61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Erros, falhas de integração e eventos críticos devem possuir logs suficientes para diagnóstico.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RNF-018</w:t>
            </w:r>
          </w:p>
        </w:tc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Evolução multiusuário</w:t>
            </w:r>
          </w:p>
        </w:tc>
        <w:tc>
          <w:tcPr>
            <w:tcW w:type="dxa" w:w="61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Entidades de negócio devem permitir identificação do proprietário e isolamento lógico dos dados desde a base da solução.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Arial" w:hAnsi="Arial" w:eastAsia="Arial"/>
          <w:b/>
          <w:color w:val="000000"/>
          <w:sz w:val="32"/>
        </w:rPr>
        <w:t>5. Validações e restrições essenciais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rPr>
          <w:tblHeader w:val="true"/>
          <w:cantSplit/>
        </w:trP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Regra</w:t>
            </w:r>
          </w:p>
        </w:tc>
        <w:tc>
          <w:tcPr>
            <w:tcW w:type="dxa" w:w="67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Validação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Módulo</w:t>
            </w:r>
          </w:p>
        </w:tc>
        <w:tc>
          <w:tcPr>
            <w:tcW w:type="dxa" w:w="674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Não permitir módulo válido com menos de 3 metas obrigatórias.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Meta concluída</w:t>
            </w:r>
          </w:p>
        </w:tc>
        <w:tc>
          <w:tcPr>
            <w:tcW w:type="dxa" w:w="674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Bloquear edição de campos que possam alterar XP, pontuação ou distribuição já consolidada.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Roda da Vida</w:t>
            </w:r>
          </w:p>
        </w:tc>
        <w:tc>
          <w:tcPr>
            <w:tcW w:type="dxa" w:w="674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Pontuação deve permanecer entre 0 e 100, aceitando casas decimais.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Distribuição entre áreas</w:t>
            </w:r>
          </w:p>
        </w:tc>
        <w:tc>
          <w:tcPr>
            <w:tcW w:type="dxa" w:w="674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Pesos informados na conclusão devem totalizar 100%.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Retroatividade</w:t>
            </w:r>
          </w:p>
        </w:tc>
        <w:tc>
          <w:tcPr>
            <w:tcW w:type="dxa" w:w="674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Permitir somente em atividades recorrentes/rotativas e até 7 dias.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Sequência</w:t>
            </w:r>
          </w:p>
        </w:tc>
        <w:tc>
          <w:tcPr>
            <w:tcW w:type="dxa" w:w="674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Um dia completo sem atividade esperada reinicia a sequência atual para zero.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Recompensa</w:t>
            </w:r>
          </w:p>
        </w:tc>
        <w:tc>
          <w:tcPr>
            <w:tcW w:type="dxa" w:w="674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Permitir no máximo uma recompensa por meta.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Recompensa de marco</w:t>
            </w:r>
          </w:p>
        </w:tc>
        <w:tc>
          <w:tcPr>
            <w:tcW w:type="dxa" w:w="674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Bloquear edição quando o progresso do marco atingir 70% ou mais.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Exclusão</w:t>
            </w:r>
          </w:p>
        </w:tc>
        <w:tc>
          <w:tcPr>
            <w:tcW w:type="dxa" w:w="674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Se houver histórico relevante, arquivar em vez de excluir definitivamente.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Vínculo profissional</w:t>
            </w:r>
          </w:p>
        </w:tc>
        <w:tc>
          <w:tcPr>
            <w:tcW w:type="dxa" w:w="674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Psicólogo e Coach não acessam dados de User sem vínculo explícito e ativo.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IA</w:t>
            </w:r>
          </w:p>
        </w:tc>
        <w:tc>
          <w:tcPr>
            <w:tcW w:type="dxa" w:w="674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A IA não pode alterar qualquer campo de regra de negócio ou executar desbloqueios por conta própria.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Temporada</w:t>
            </w:r>
          </w:p>
        </w:tc>
        <w:tc>
          <w:tcPr>
            <w:tcW w:type="dxa" w:w="674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A temporada sempre termina em 31 de dezembro, independentemente da data de cadastro.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Arial" w:hAnsi="Arial" w:eastAsia="Arial"/>
          <w:b/>
          <w:color w:val="000000"/>
          <w:sz w:val="32"/>
        </w:rPr>
        <w:t>6. Critérios de aceite dos fluxos críticos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rPr>
          <w:tblHeader w:val="true"/>
          <w:cantSplit/>
        </w:trP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Fluxo</w:t>
            </w:r>
          </w:p>
        </w:tc>
        <w:tc>
          <w:tcPr>
            <w:tcW w:type="dxa" w:w="67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Critério mínimo de aceite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Cadastro e login</w:t>
            </w:r>
          </w:p>
        </w:tc>
        <w:tc>
          <w:tcPr>
            <w:tcW w:type="dxa" w:w="674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Usuário com credenciais válidas acessa o sistema e recebe apenas permissões compatíveis com seu perfil.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Vínculo Psicólogo/Coach</w:t>
            </w:r>
          </w:p>
        </w:tc>
        <w:tc>
          <w:tcPr>
            <w:tcW w:type="dxa" w:w="674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Sem vínculo ativo o acesso é negado; com vínculo ativo o acesso é limitado ao escopo autorizado; após revogação novos acessos são bloqueados.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Criação de módulo</w:t>
            </w:r>
          </w:p>
        </w:tc>
        <w:tc>
          <w:tcPr>
            <w:tcW w:type="dxa" w:w="674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O sistema impede finalizar o cadastro de um módulo acompanhável sem pelo menos 3 metas obrigatórias.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Conclusão de meta fixa</w:t>
            </w:r>
          </w:p>
        </w:tc>
        <w:tc>
          <w:tcPr>
            <w:tcW w:type="dxa" w:w="674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O sistema calcula efeitos, registra XP/pontos, gera conquista e bloqueia campos calculáveis após consolidar a conclusão.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Meta recorrente</w:t>
            </w:r>
          </w:p>
        </w:tc>
        <w:tc>
          <w:tcPr>
            <w:tcW w:type="dxa" w:w="674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O ciclo só libera recompensa em 100%; ausência de um dia zera a sequência atual sem apagar histórico.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Registro retroativo</w:t>
            </w:r>
          </w:p>
        </w:tc>
        <w:tc>
          <w:tcPr>
            <w:tcW w:type="dxa" w:w="674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Um registro recorrente de até 7 dias é aceito e recalcula os efeitos dependentes; acima do limite é recusado.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Roda da Vida</w:t>
            </w:r>
          </w:p>
        </w:tc>
        <w:tc>
          <w:tcPr>
            <w:tcW w:type="dxa" w:w="674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Uma atividade distribui pontos pelas áreas escolhidas, respeita o teto 100 e reinicia inatividade apenas da área principal.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Subida de nível</w:t>
            </w:r>
          </w:p>
        </w:tc>
        <w:tc>
          <w:tcPr>
            <w:tcW w:type="dxa" w:w="674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Ao alcançar o requisito, o nível aumenta, o XP atual volta a zero e o próximo requisito aumenta em 100 XP.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Conclusão de módulo</w:t>
            </w:r>
          </w:p>
        </w:tc>
        <w:tc>
          <w:tcPr>
            <w:tcW w:type="dxa" w:w="674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Com todas as metas obrigatórias atendidas conforme seus critérios, o módulo é concluído e gera conquista.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Virada de temporada</w:t>
            </w:r>
          </w:p>
        </w:tc>
        <w:tc>
          <w:tcPr>
            <w:tcW w:type="dxa" w:w="674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O histórico permanece, nível/XP reiniciam e o usuário escolhe módulos e metas que serão levados.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Falha da IA</w:t>
            </w:r>
          </w:p>
        </w:tc>
        <w:tc>
          <w:tcPr>
            <w:tcW w:type="dxa" w:w="674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A falha não impede a conclusão do evento de negócio; o sistema utiliza fallback quando previsto ou mantém conteúdo especial como pendente.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Dashboard</w:t>
            </w:r>
          </w:p>
        </w:tc>
        <w:tc>
          <w:tcPr>
            <w:tcW w:type="dxa" w:w="674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Após autenticação, o usuário visualiza nível/XP, título, mensagem, Roda da Vida, metas, módulos, sequência, calendário resumido e recompensas disponíveis.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Arial" w:hAnsi="Arial" w:eastAsia="Arial"/>
          <w:b/>
          <w:color w:val="000000"/>
          <w:sz w:val="32"/>
        </w:rPr>
        <w:t>7. Limites da primeira versão</w:t>
      </w:r>
    </w:p>
    <w:p>
      <w:pPr>
        <w:spacing w:after="100" w:line="259" w:lineRule="auto"/>
      </w:pPr>
      <w:r>
        <w:rPr>
          <w:rFonts w:ascii="Arial" w:hAnsi="Arial" w:eastAsia="Arial"/>
          <w:color w:val="000000"/>
          <w:sz w:val="22"/>
        </w:rPr>
        <w:t>O projeto deve manter foco no núcleo funcional antes de ampliar a experiência profissional ou comercial. Os itens abaixo podem ser preparados arquiteturalmente, mas não precisam ser implementados integralmente na primeira entrega, salvo se forem priorizados no roadmap.</w:t>
      </w:r>
    </w:p>
    <w:p>
      <w:pPr>
        <w:pStyle w:val="ListBullet"/>
        <w:spacing w:after="40"/>
      </w:pPr>
      <w:r>
        <w:rPr>
          <w:rFonts w:ascii="Arial" w:hAnsi="Arial" w:eastAsia="Arial"/>
          <w:color w:val="000000"/>
          <w:sz w:val="22"/>
        </w:rPr>
        <w:t>Fluxos avançados de recuperação de senha, autenticação social e múltiplos fatores.</w:t>
      </w:r>
    </w:p>
    <w:p>
      <w:pPr>
        <w:pStyle w:val="ListBullet"/>
        <w:spacing w:after="40"/>
      </w:pPr>
      <w:r>
        <w:rPr>
          <w:rFonts w:ascii="Arial" w:hAnsi="Arial" w:eastAsia="Arial"/>
          <w:color w:val="000000"/>
          <w:sz w:val="22"/>
        </w:rPr>
        <w:t>Cobrança, assinatura, planos comerciais e marketplace de profissionais.</w:t>
      </w:r>
    </w:p>
    <w:p>
      <w:pPr>
        <w:pStyle w:val="ListBullet"/>
        <w:spacing w:after="40"/>
      </w:pPr>
      <w:r>
        <w:rPr>
          <w:rFonts w:ascii="Arial" w:hAnsi="Arial" w:eastAsia="Arial"/>
          <w:color w:val="000000"/>
          <w:sz w:val="22"/>
        </w:rPr>
        <w:t>Aplicativos móveis nativos.</w:t>
      </w:r>
    </w:p>
    <w:p>
      <w:pPr>
        <w:pStyle w:val="ListBullet"/>
        <w:spacing w:after="40"/>
      </w:pPr>
      <w:r>
        <w:rPr>
          <w:rFonts w:ascii="Arial" w:hAnsi="Arial" w:eastAsia="Arial"/>
          <w:color w:val="000000"/>
          <w:sz w:val="22"/>
        </w:rPr>
        <w:t>Integrações externas de calendário, wearables ou plataformas de saúde.</w:t>
      </w:r>
    </w:p>
    <w:p>
      <w:pPr>
        <w:pStyle w:val="ListBullet"/>
        <w:spacing w:after="40"/>
      </w:pPr>
      <w:r>
        <w:rPr>
          <w:rFonts w:ascii="Arial" w:hAnsi="Arial" w:eastAsia="Arial"/>
          <w:color w:val="000000"/>
          <w:sz w:val="22"/>
        </w:rPr>
        <w:t>Ferramentas clínicas ou prontuário psicológico; o LifeQuest não deve assumir esse escopo sem requisitos específicos.</w:t>
      </w:r>
    </w:p>
    <w:p>
      <w:pPr>
        <w:pStyle w:val="ListBullet"/>
        <w:spacing w:after="40"/>
      </w:pPr>
      <w:r>
        <w:rPr>
          <w:rFonts w:ascii="Arial" w:hAnsi="Arial" w:eastAsia="Arial"/>
          <w:color w:val="000000"/>
          <w:sz w:val="22"/>
        </w:rPr>
        <w:t>Automação ampla de recomendações pela IA; na primeira versão a IA permanece restrita à geração textual definida.</w:t>
      </w:r>
    </w:p>
    <w:p>
      <w:pPr>
        <w:pStyle w:val="Heading1"/>
        <w:keepNext/>
        <w:spacing w:before="200" w:after="80"/>
      </w:pPr>
      <w:r>
        <w:rPr>
          <w:rFonts w:ascii="Arial" w:hAnsi="Arial" w:eastAsia="Arial"/>
          <w:b/>
          <w:color w:val="000000"/>
          <w:sz w:val="32"/>
        </w:rPr>
        <w:t>8. Decisões técnicas pendentes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35"/>
        <w:gridCol w:w="3135"/>
        <w:gridCol w:w="3135"/>
      </w:tblGrid>
      <w:tr>
        <w:trPr>
          <w:tblHeader w:val="true"/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Tema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Estado atual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Documento futuro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Banco relacional</w:t>
            </w:r>
          </w:p>
        </w:tc>
        <w:tc>
          <w:tcPr>
            <w:tcW w:type="dxa" w:w="476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Em avaliação entre MariaDB e MySQL, priorizando custo, compatibilidade e viabilidade futura em cloud.</w:t>
            </w:r>
          </w:p>
        </w:tc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ADR de banco de dados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Banco NoSQL de IA</w:t>
            </w:r>
          </w:p>
        </w:tc>
        <w:tc>
          <w:tcPr>
            <w:tcW w:type="dxa" w:w="476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Em avaliação entre MongoDB e Azure Cosmos DB.</w:t>
            </w:r>
          </w:p>
        </w:tc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ADR de persistência de IA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Provedor de IA</w:t>
            </w:r>
          </w:p>
        </w:tc>
        <w:tc>
          <w:tcPr>
            <w:tcW w:type="dxa" w:w="476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Forte possibilidade de GPT/OpenAI, ainda sem decisão definitiva.</w:t>
            </w:r>
          </w:p>
        </w:tc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ADR de integração com IA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Frontend React</w:t>
            </w:r>
          </w:p>
        </w:tc>
        <w:tc>
          <w:tcPr>
            <w:tcW w:type="dxa" w:w="476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React definido; abordagem específica como Vite ou framework adicional ainda será decidida.</w:t>
            </w:r>
          </w:p>
        </w:tc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ADR de frontend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Autenticação técnica</w:t>
            </w:r>
          </w:p>
        </w:tc>
        <w:tc>
          <w:tcPr>
            <w:tcW w:type="dxa" w:w="476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Login e senha definidos; mecanismo de sessão/token e recuperação de credenciais ainda será detalhado na arquitetura.</w:t>
            </w:r>
          </w:p>
        </w:tc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Documento de arquitetura / ADR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Conteúdo dos templates</w:t>
            </w:r>
          </w:p>
        </w:tc>
        <w:tc>
          <w:tcPr>
            <w:tcW w:type="dxa" w:w="476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Perfis e permissões definidos; estrutura exata dos templates será detalhada no modelo de domínio e nos casos de uso.</w:t>
            </w:r>
          </w:p>
        </w:tc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Documento 04 - Modelo de Domínio e DER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Arial" w:hAnsi="Arial" w:eastAsia="Arial"/>
          <w:b/>
          <w:color w:val="000000"/>
          <w:sz w:val="32"/>
        </w:rPr>
        <w:t>9. Rastreabilidade com os documentos anteriores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rPr>
          <w:tblHeader w:val="true"/>
          <w:cantSplit/>
        </w:trPr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Documento</w:t>
            </w:r>
          </w:p>
        </w:tc>
        <w:tc>
          <w:tcPr>
            <w:tcW w:type="dxa" w:w="56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Papel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Documento 01 - Visão, Escopo e Roadmap</w:t>
            </w:r>
          </w:p>
        </w:tc>
        <w:tc>
          <w:tcPr>
            <w:tcW w:type="dxa" w:w="561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Define a direção do produto, limites e evolução planejada.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Documento 02 - Glossário e Regras de Negócio</w:t>
            </w:r>
          </w:p>
        </w:tc>
        <w:tc>
          <w:tcPr>
            <w:tcW w:type="dxa" w:w="561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Define conceitos, fórmulas e regras detalhadas do domínio.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Documento 03 - Requisitos do Sistema</w:t>
            </w:r>
          </w:p>
        </w:tc>
        <w:tc>
          <w:tcPr>
            <w:tcW w:type="dxa" w:w="561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Transforma as decisões anteriores em comportamentos funcionais e não funcionais verificáveis.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Documento 04 - Modelo de Domínio e DER</w:t>
            </w:r>
          </w:p>
        </w:tc>
        <w:tc>
          <w:tcPr>
            <w:tcW w:type="dxa" w:w="561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9"/>
              </w:rPr>
              <w:t>Deverá mapear entidades, relacionamentos, agregados e persistência necessários para implementar estes requisitos.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Arial" w:hAnsi="Arial" w:eastAsia="Arial"/>
          <w:b/>
          <w:color w:val="000000"/>
          <w:sz w:val="32"/>
        </w:rPr>
        <w:t>10. Resumo de implementação</w:t>
      </w:r>
    </w:p>
    <w:p>
      <w:pPr>
        <w:spacing w:after="100" w:line="259" w:lineRule="auto"/>
      </w:pPr>
      <w:r>
        <w:rPr>
          <w:rFonts w:ascii="Arial" w:hAnsi="Arial" w:eastAsia="Arial"/>
          <w:color w:val="000000"/>
          <w:sz w:val="22"/>
        </w:rPr>
        <w:t>A primeira versão do LifeQuest deve priorizar um fluxo completo e confiável: autenticar, realizar autoavaliação, criar módulos e metas, registrar progresso, calcular XP e Roda da Vida, acompanhar constância, concluir metas e módulos, receber gamificação, visualizar o dashboard e encerrar a temporada preservando o histórico.</w:t>
      </w:r>
    </w:p>
    <w:p>
      <w:pPr>
        <w:spacing w:after="100" w:line="259" w:lineRule="auto"/>
      </w:pPr>
      <w:r>
        <w:rPr>
          <w:rFonts w:ascii="Arial" w:hAnsi="Arial" w:eastAsia="Arial"/>
          <w:color w:val="000000"/>
          <w:sz w:val="22"/>
        </w:rPr>
        <w:t>Os perfis profissionais acrescentam uma camada de colaboração controlada por vínculo. A IA acrescenta personalização textual, mas não participa das decisões centrais. Essa separação permite evoluir o produto sem tornar o núcleo de negócio dependente de serviços externos.</w:t>
      </w:r>
    </w:p>
    <w:sectPr w:rsidR="00FC693F" w:rsidRPr="0006063C" w:rsidSect="00034616">
      <w:headerReference w:type="default" r:id="rId9"/>
      <w:pgSz w:w="12240" w:h="15840"/>
      <w:pgMar w:top="1304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 w:eastAsia="Arial"/>
        <w:b/>
        <w:color w:val="000000"/>
        <w:sz w:val="18"/>
      </w:rPr>
      <w:t>LIFEQUEST  |  DOCUMENTO DE REQUISITOS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color w:val="000000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LifeQuest - Documento 03 - Requisitos do Sistema</dc:title>
  <dc:subject>Requisitos funcionais e não funcionais do LifeQuest</dc:subject>
  <dc:creator>LifeQuest</dc:creator>
  <cp:keywords>LifeQuest, requisitos, .NET, gamificação, roda da vida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