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8"/>
        </w:rPr>
        <w:t>LifeQuest</w:t>
      </w:r>
    </w:p>
    <w:p>
      <w:pPr>
        <w:jc w:val="center"/>
      </w:pPr>
      <w:r>
        <w:rPr>
          <w:rFonts w:ascii="Arial" w:hAnsi="Arial" w:eastAsia="Arial"/>
          <w:b/>
          <w:sz w:val="36"/>
        </w:rPr>
        <w:t>Documento 06 - Contrato e Padrões da API</w:t>
      </w:r>
    </w:p>
    <w:p>
      <w:pPr>
        <w:jc w:val="center"/>
      </w:pPr>
      <w:r>
        <w:rPr>
          <w:rFonts w:ascii="Arial" w:hAnsi="Arial" w:eastAsia="Arial"/>
          <w:sz w:val="22"/>
        </w:rPr>
        <w:t>GraphQL, Hot Chocolate, YARP, REST auxiliar e padrões de integração</w:t>
      </w:r>
    </w:p>
    <w:p>
      <w:pPr>
        <w:jc w:val="center"/>
      </w:pPr>
      <w:r>
        <w:rPr>
          <w:rFonts w:ascii="Arial" w:hAnsi="Arial" w:eastAsia="Arial"/>
          <w:sz w:val="20"/>
        </w:rPr>
        <w:t>Versão 1.0</w:t>
        <w:br/>
        <w:t>Agosto de 2026</w:t>
      </w:r>
    </w:p>
    <w:p>
      <w:r>
        <w:rPr>
          <w:rFonts w:ascii="Arial" w:hAnsi="Arial" w:eastAsia="Arial"/>
          <w:sz w:val="22"/>
        </w:rPr>
        <w:br w:type="page"/>
      </w:r>
    </w:p>
    <w:p>
      <w:pPr>
        <w:pStyle w:val="Heading1"/>
      </w:pPr>
      <w:r>
        <w:rPr>
          <w:rFonts w:ascii="Arial" w:hAnsi="Arial" w:eastAsia="Arial"/>
          <w:sz w:val="22"/>
        </w:rPr>
        <w:t>1. Objetivo do documento</w:t>
      </w:r>
    </w:p>
    <w:p>
      <w:r>
        <w:rPr>
          <w:rFonts w:ascii="Arial" w:hAnsi="Arial" w:eastAsia="Arial"/>
          <w:sz w:val="21"/>
        </w:rPr>
        <w:t>Este documento define o contrato externo e os padrões de integração do LifeQuest. O contrato principal de negócio será GraphQL sobre ASP.NET Core, utilizando Hot Chocolate. REST permanecerá apenas para capacidades auxiliares que se beneficiem de endpoints HTTP tradicionais. O documento deve orientar frontend, backend, testes, gateway e futuras integrações sem permitir que clientes controlem regras de domínio.</w:t>
      </w:r>
    </w:p>
    <w:p>
      <w:pPr>
        <w:pStyle w:val="Heading1"/>
      </w:pPr>
      <w:r>
        <w:rPr>
          <w:rFonts w:ascii="Arial" w:hAnsi="Arial" w:eastAsia="Arial"/>
          <w:sz w:val="22"/>
        </w:rPr>
        <w:t>2. Decisões principais</w:t>
      </w:r>
    </w:p>
    <w:tbl>
      <w:tblPr>
        <w:tblStyle w:val="TableGrid"/>
        <w:tblW w:type="auto" w:w="0"/>
        <w:jc w:val="center"/>
        <w:tblLook w:firstColumn="1" w:firstRow="1" w:lastColumn="0" w:lastRow="0" w:noHBand="0" w:noVBand="1" w:val="04A0"/>
      </w:tblPr>
      <w:tblGrid>
        <w:gridCol w:w="4968"/>
        <w:gridCol w:w="4968"/>
      </w:tblGrid>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Aspecto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Decisão</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Contrato principal</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GraphQL</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Servidor GraphQL</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Hot Chocolate sobre ASP.NET Core/.NET 10</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Endpoint principal</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/graphql</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API Gateway</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LifeQuest.Gateway com YARP desde o ambiente local</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REST auxiliar</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/api/v1/* para autenticação, health, OpenAPI e integrações específicas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Documentação GraphQL</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Schema + Nitro em desenvolvimento</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Documentação REST</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OpenAPI nativo + Scalar</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IDs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GUID/UUID</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Versionamento GraphQL</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Evolução aditiva do schema + depreciação</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Versionamento REST</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URL /api/v1</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Idempotência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Obrigatória em mutations críticas</w:t>
            </w:r>
          </w:p>
        </w:tc>
      </w:tr>
    </w:tbl>
    <w:p>
      <w:pPr>
        <w:pStyle w:val="Heading1"/>
      </w:pPr>
      <w:r>
        <w:rPr>
          <w:rFonts w:ascii="Arial" w:hAnsi="Arial" w:eastAsia="Arial"/>
          <w:sz w:val="22"/>
        </w:rPr>
        <w:t>3. Princípios do contrato</w:t>
      </w:r>
    </w:p>
    <w:p>
      <w:pPr>
        <w:pStyle w:val="ListBullet"/>
      </w:pPr>
      <w:r>
        <w:rPr>
          <w:rFonts w:ascii="Arial" w:hAnsi="Arial" w:eastAsia="Arial"/>
          <w:sz w:val="21"/>
        </w:rPr>
        <w:t>O cliente envia intenção e fatos; o backend calcula XP, nível, pontos, badges, conquistas, títulos e desbloqueios.</w:t>
      </w:r>
    </w:p>
    <w:p>
      <w:pPr>
        <w:pStyle w:val="ListBullet"/>
      </w:pPr>
      <w:r>
        <w:rPr>
          <w:rFonts w:ascii="Arial" w:hAnsi="Arial" w:eastAsia="Arial"/>
          <w:sz w:val="21"/>
        </w:rPr>
        <w:t>Resolvers GraphQL não concentram regras de negócio; delegam para Application/Domain.</w:t>
      </w:r>
    </w:p>
    <w:p>
      <w:pPr>
        <w:pStyle w:val="ListBullet"/>
      </w:pPr>
      <w:r>
        <w:rPr>
          <w:rFonts w:ascii="Arial" w:hAnsi="Arial" w:eastAsia="Arial"/>
          <w:sz w:val="21"/>
        </w:rPr>
        <w:t>Queries são livres de efeitos colaterais de negócio.</w:t>
      </w:r>
    </w:p>
    <w:p>
      <w:pPr>
        <w:pStyle w:val="ListBullet"/>
      </w:pPr>
      <w:r>
        <w:rPr>
          <w:rFonts w:ascii="Arial" w:hAnsi="Arial" w:eastAsia="Arial"/>
          <w:sz w:val="21"/>
        </w:rPr>
        <w:t>Mutations devem representar ações do domínio, e não reproduzir verbos HTTP artificialmente.</w:t>
      </w:r>
    </w:p>
    <w:p>
      <w:pPr>
        <w:pStyle w:val="ListBullet"/>
      </w:pPr>
      <w:r>
        <w:rPr>
          <w:rFonts w:ascii="Arial" w:hAnsi="Arial" w:eastAsia="Arial"/>
          <w:sz w:val="21"/>
        </w:rPr>
        <w:t>O schema deve ser pequeno, previsível, documentado e evoluir sem quebrar consumidores quando possível.</w:t>
      </w:r>
    </w:p>
    <w:p>
      <w:pPr>
        <w:pStyle w:val="ListBullet"/>
      </w:pPr>
      <w:r>
        <w:rPr>
          <w:rFonts w:ascii="Arial" w:hAnsi="Arial" w:eastAsia="Arial"/>
          <w:sz w:val="21"/>
        </w:rPr>
        <w:t>Campos sensíveis só são expostos quando necessários e autorizados.</w:t>
      </w:r>
    </w:p>
    <w:p>
      <w:pPr>
        <w:pStyle w:val="ListBullet"/>
      </w:pPr>
      <w:r>
        <w:rPr>
          <w:rFonts w:ascii="Arial" w:hAnsi="Arial" w:eastAsia="Arial"/>
          <w:sz w:val="21"/>
        </w:rPr>
        <w:t>Listas potencialmente grandes exigem paginação e limites.</w:t>
      </w:r>
    </w:p>
    <w:p>
      <w:pPr>
        <w:pStyle w:val="Heading1"/>
      </w:pPr>
      <w:r>
        <w:rPr>
          <w:rFonts w:ascii="Arial" w:hAnsi="Arial" w:eastAsia="Arial"/>
          <w:sz w:val="22"/>
        </w:rPr>
        <w:t>4. Topologia de entrada</w:t>
      </w:r>
    </w:p>
    <w:p>
      <w:pPr>
        <w:spacing w:before="60" w:after="120"/>
        <w:ind w:left="360"/>
      </w:pPr>
      <w:r>
        <w:rPr>
          <w:rFonts w:ascii="Arial" w:hAnsi="Arial" w:eastAsia="Arial"/>
          <w:sz w:val="18"/>
        </w:rPr>
        <w:t>React</w:t>
        <w:br/>
        <w:t xml:space="preserve">  -&gt; LifeQuest.Gateway (YARP)</w:t>
        <w:br/>
        <w:t xml:space="preserve">       -&gt; /graphql      -&gt; LifeQuest.Api / Hot Chocolate</w:t>
        <w:br/>
        <w:t xml:space="preserve">       -&gt; /api/v1/*    -&gt; REST auxiliar / ASP.NET Core</w:t>
        <w:br/>
        <w:br/>
        <w:t>Desenvolvimento:</w:t>
        <w:br/>
        <w:t xml:space="preserve">  GraphQL -&gt; Nitro</w:t>
        <w:br/>
        <w:t xml:space="preserve">  REST    -&gt; OpenAPI + Scalar</w:t>
      </w:r>
    </w:p>
    <w:p>
      <w:r>
        <w:rPr>
          <w:rFonts w:ascii="Arial" w:hAnsi="Arial" w:eastAsia="Arial"/>
          <w:sz w:val="21"/>
        </w:rPr>
        <w:t>O gateway será o ponto de entrada do frontend. No início ele poderá rodar localmente como uma aplicação ASP.NET Core/YARP; em cloud poderá ser implantado como container independente e ganhar políticas transversais adicionais.</w:t>
      </w:r>
    </w:p>
    <w:p>
      <w:pPr>
        <w:pStyle w:val="Heading1"/>
      </w:pPr>
      <w:r>
        <w:rPr>
          <w:rFonts w:ascii="Arial" w:hAnsi="Arial" w:eastAsia="Arial"/>
          <w:sz w:val="22"/>
        </w:rPr>
        <w:t>5. Schema GraphQL</w:t>
      </w:r>
    </w:p>
    <w:p>
      <w:pPr>
        <w:pStyle w:val="Heading2"/>
      </w:pPr>
      <w:r>
        <w:rPr>
          <w:rFonts w:ascii="Arial" w:hAnsi="Arial" w:eastAsia="Arial"/>
          <w:sz w:val="22"/>
        </w:rPr>
        <w:t>5.1 Root types</w:t>
      </w:r>
    </w:p>
    <w:tbl>
      <w:tblPr>
        <w:tblStyle w:val="TableGrid"/>
        <w:tblW w:type="auto" w:w="0"/>
        <w:jc w:val="center"/>
        <w:tblLook w:firstColumn="1" w:firstRow="1" w:lastColumn="0" w:lastRow="0" w:noHBand="0" w:noVBand="1" w:val="04A0"/>
      </w:tblPr>
      <w:tblGrid>
        <w:gridCol w:w="4968"/>
        <w:gridCol w:w="4968"/>
      </w:tblGrid>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Root</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Uso</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Query</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Leituras e projeções sem efeitos colaterais.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Mutation</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Comandos e ações que alteram estado.</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Subscription</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Reservada para necessidades futuras de atualização em tempo real; não faz parte do MVP inicial.</w:t>
            </w:r>
          </w:p>
        </w:tc>
      </w:tr>
    </w:tbl>
    <w:p>
      <w:pPr>
        <w:pStyle w:val="Heading2"/>
      </w:pPr>
      <w:r>
        <w:rPr>
          <w:rFonts w:ascii="Arial" w:hAnsi="Arial" w:eastAsia="Arial"/>
          <w:sz w:val="22"/>
        </w:rPr>
        <w:t>5.2 Convenções de nomenclatura</w:t>
      </w:r>
    </w:p>
    <w:p>
      <w:pPr>
        <w:pStyle w:val="ListBullet"/>
      </w:pPr>
      <w:r>
        <w:rPr>
          <w:rFonts w:ascii="Arial" w:hAnsi="Arial" w:eastAsia="Arial"/>
          <w:sz w:val="21"/>
        </w:rPr>
        <w:t>Campos e argumentos: camelCase.</w:t>
      </w:r>
    </w:p>
    <w:p>
      <w:pPr>
        <w:pStyle w:val="ListBullet"/>
      </w:pPr>
      <w:r>
        <w:rPr>
          <w:rFonts w:ascii="Arial" w:hAnsi="Arial" w:eastAsia="Arial"/>
          <w:sz w:val="21"/>
        </w:rPr>
        <w:t>Tipos de domínio expostos: PascalCase.</w:t>
      </w:r>
    </w:p>
    <w:p>
      <w:pPr>
        <w:pStyle w:val="ListBullet"/>
      </w:pPr>
      <w:r>
        <w:rPr>
          <w:rFonts w:ascii="Arial" w:hAnsi="Arial" w:eastAsia="Arial"/>
          <w:sz w:val="21"/>
        </w:rPr>
        <w:t>Inputs: sufixo Input, por exemplo CreateGoalInput.</w:t>
      </w:r>
    </w:p>
    <w:p>
      <w:pPr>
        <w:pStyle w:val="ListBullet"/>
      </w:pPr>
      <w:r>
        <w:rPr>
          <w:rFonts w:ascii="Arial" w:hAnsi="Arial" w:eastAsia="Arial"/>
          <w:sz w:val="21"/>
        </w:rPr>
        <w:t>Payloads de mutations: sufixo Payload quando houver metadados relevantes, por exemplo CompleteGoalPayload.</w:t>
      </w:r>
    </w:p>
    <w:p>
      <w:pPr>
        <w:pStyle w:val="ListBullet"/>
      </w:pPr>
      <w:r>
        <w:rPr>
          <w:rFonts w:ascii="Arial" w:hAnsi="Arial" w:eastAsia="Arial"/>
          <w:sz w:val="21"/>
        </w:rPr>
        <w:t>Enums usam nomes semânticos e estáveis; valores não devem depender de descrições de UI.</w:t>
      </w:r>
    </w:p>
    <w:p>
      <w:pPr>
        <w:pStyle w:val="ListBullet"/>
      </w:pPr>
      <w:r>
        <w:rPr>
          <w:rFonts w:ascii="Arial" w:hAnsi="Arial" w:eastAsia="Arial"/>
          <w:sz w:val="21"/>
        </w:rPr>
        <w:t>Operações do frontend devem ser nomeadas para facilitar tracing e diagnóstico.</w:t>
      </w:r>
    </w:p>
    <w:p>
      <w:pPr>
        <w:pStyle w:val="Heading2"/>
      </w:pPr>
      <w:r>
        <w:rPr>
          <w:rFonts w:ascii="Arial" w:hAnsi="Arial" w:eastAsia="Arial"/>
          <w:sz w:val="22"/>
        </w:rPr>
        <w:t>5.3 Identificadores</w:t>
      </w:r>
    </w:p>
    <w:p>
      <w:r>
        <w:rPr>
          <w:rFonts w:ascii="Arial" w:hAnsi="Arial" w:eastAsia="Arial"/>
          <w:sz w:val="21"/>
        </w:rPr>
        <w:t>Todos os identificadores públicos utilizarão GUID/UUID. O cliente não deve inferir sequência, volume de dados ou significado a partir do identificador.</w:t>
      </w:r>
    </w:p>
    <w:p>
      <w:pPr>
        <w:pStyle w:val="Heading1"/>
      </w:pPr>
      <w:r>
        <w:rPr>
          <w:rFonts w:ascii="Arial" w:hAnsi="Arial" w:eastAsia="Arial"/>
          <w:sz w:val="22"/>
        </w:rPr>
        <w:t>6. Queries principais</w:t>
      </w:r>
    </w:p>
    <w:tbl>
      <w:tblPr>
        <w:tblStyle w:val="TableGrid"/>
        <w:tblW w:type="auto" w:w="0"/>
        <w:jc w:val="center"/>
        <w:tblLook w:firstColumn="1" w:firstRow="1" w:lastColumn="0" w:lastRow="0" w:noHBand="0" w:noVBand="1" w:val="04A0"/>
      </w:tblPr>
      <w:tblGrid>
        <w:gridCol w:w="4968"/>
        <w:gridCol w:w="4968"/>
      </w:tblGrid>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Grupo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Queries de referência</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Usuário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me</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Dashboard</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dashboard</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Temporadas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currentSeason, seasons, season(id)</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Módulos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modules, module(id)</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Metas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goals, goal(id)</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Roda da Vida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lifeWheel, lifeAreaHistory</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Gamificação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achievements, badges, titles, xpHistory</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Recompensas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rewards, availableRewards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Templates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templates, template(id)</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Profissionais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professionalLinks, professionalAdvices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IA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latestAiMessage, seasonReview</w:t>
            </w:r>
          </w:p>
        </w:tc>
      </w:tr>
    </w:tbl>
    <w:p>
      <w:pPr>
        <w:spacing w:before="60" w:after="120"/>
        <w:ind w:left="360"/>
      </w:pPr>
      <w:r>
        <w:rPr>
          <w:rFonts w:ascii="Arial" w:hAnsi="Arial" w:eastAsia="Arial"/>
          <w:sz w:val="18"/>
        </w:rPr>
        <w:t>query Dashboard {</w:t>
        <w:br/>
        <w:t xml:space="preserve">  dashboard {</w:t>
        <w:br/>
        <w:t xml:space="preserve">    currentSeason { year level currentXp nextLevelXp }</w:t>
        <w:br/>
        <w:t xml:space="preserve">    currentTitle { id name }</w:t>
        <w:br/>
        <w:t xml:space="preserve">    lifeWheel { area { id name } score }</w:t>
        <w:br/>
        <w:t xml:space="preserve">    activeModules(first: 10) { nodes { id name progressPercentage } }</w:t>
        <w:br/>
        <w:t xml:space="preserve">    availableRewards(first: 10) { nodes { id description status } }</w:t>
        <w:br/>
        <w:t xml:space="preserve">    aiMessage { text generatedAt }</w:t>
        <w:br/>
        <w:t xml:space="preserve">  }</w:t>
        <w:br/>
        <w:t>}</w:t>
      </w:r>
    </w:p>
    <w:p>
      <w:pPr>
        <w:pStyle w:val="Heading1"/>
      </w:pPr>
      <w:r>
        <w:rPr>
          <w:rFonts w:ascii="Arial" w:hAnsi="Arial" w:eastAsia="Arial"/>
          <w:sz w:val="22"/>
        </w:rPr>
        <w:t>7. Mutations principais</w:t>
      </w:r>
    </w:p>
    <w:tbl>
      <w:tblPr>
        <w:tblStyle w:val="TableGrid"/>
        <w:tblW w:type="auto" w:w="0"/>
        <w:jc w:val="center"/>
        <w:tblLook w:firstColumn="1" w:firstRow="1" w:lastColumn="0" w:lastRow="0" w:noHBand="0" w:noVBand="1" w:val="04A0"/>
      </w:tblPr>
      <w:tblGrid>
        <w:gridCol w:w="4968"/>
        <w:gridCol w:w="4968"/>
      </w:tblGrid>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Domínio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Mutations de referência</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Módulos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createModule, updateModule, archiveModule, deleteModule</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Metas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createGoal, updateGoal, completeGoal, archiveGoal, deleteGoal</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Progresso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registerGoalProgress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Recompensas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redeemReward</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Temporadas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closeSeason, transitionSeason</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Templates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createTemplate, updateTemplate, applyTemplate, shareTemplate</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Vínculos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requestProfessionalLink, acceptProfessionalLink, rejectProfessionalLink, revokeProfessionalLink</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Orientações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addProfessionalAdvice</w:t>
            </w:r>
          </w:p>
        </w:tc>
      </w:tr>
    </w:tbl>
    <w:p>
      <w:r>
        <w:rPr>
          <w:rFonts w:ascii="Arial" w:hAnsi="Arial" w:eastAsia="Arial"/>
          <w:sz w:val="21"/>
        </w:rPr>
        <w:t>Mutations devem ser semânticas. Por exemplo, completeGoal expressa uma intenção de negócio melhor do que um update genérico que permita ao cliente alterar status e XP diretamente.</w:t>
      </w:r>
    </w:p>
    <w:p>
      <w:pPr>
        <w:spacing w:before="60" w:after="120"/>
        <w:ind w:left="360"/>
      </w:pPr>
      <w:r>
        <w:rPr>
          <w:rFonts w:ascii="Arial" w:hAnsi="Arial" w:eastAsia="Arial"/>
          <w:sz w:val="18"/>
        </w:rPr>
        <w:t>mutation RegisterWorkout($input: RegisterGoalProgressInput!) {</w:t>
        <w:br/>
        <w:t xml:space="preserve">  registerGoalProgress(input: $input) {</w:t>
        <w:br/>
        <w:t xml:space="preserve">    goal { id name progressPercentage }</w:t>
        <w:br/>
        <w:t xml:space="preserve">    season { level currentXp nextLevelXp }</w:t>
        <w:br/>
        <w:t xml:space="preserve">    effects { lifeAreaPoints levelUp milestoneReached }</w:t>
        <w:br/>
        <w:t xml:space="preserve">  }</w:t>
        <w:br/>
        <w:t>}</w:t>
      </w:r>
    </w:p>
    <w:p>
      <w:pPr>
        <w:pStyle w:val="Heading1"/>
      </w:pPr>
      <w:r>
        <w:rPr>
          <w:rFonts w:ascii="Arial" w:hAnsi="Arial" w:eastAsia="Arial"/>
          <w:sz w:val="22"/>
        </w:rPr>
        <w:t>8. Inputs e autoridade do backend</w:t>
      </w:r>
    </w:p>
    <w:p>
      <w:r>
        <w:rPr>
          <w:rFonts w:ascii="Arial" w:hAnsi="Arial" w:eastAsia="Arial"/>
          <w:sz w:val="21"/>
        </w:rPr>
        <w:t>Inputs aceitam apenas dados que o usuário realmente informa. Dados derivados são calculados no backend e retornados apenas como resultado.</w:t>
      </w:r>
    </w:p>
    <w:tbl>
      <w:tblPr>
        <w:tblStyle w:val="TableGrid"/>
        <w:tblW w:type="auto" w:w="0"/>
        <w:jc w:val="center"/>
        <w:tblLook w:firstColumn="1" w:firstRow="1" w:lastColumn="0" w:lastRow="0" w:noHBand="0" w:noVBand="1" w:val="04A0"/>
      </w:tblPr>
      <w:tblGrid>
        <w:gridCol w:w="4968"/>
        <w:gridCol w:w="4968"/>
      </w:tblGrid>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Cliente pode enviar</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Cliente não pode definir</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durationMinutes, pages, quantity, intensity, activityDate</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xpEarned, currentXp, level</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nome, descrição, dificuldade e configuração permitida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lifeAreaPoints calculados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área principal e pesos quando a regra permitir</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achievement/badge/title desbloqueado</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recompensa personalizada da meta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status Available de recompensa sem regra cumprida</w:t>
            </w:r>
          </w:p>
        </w:tc>
      </w:tr>
    </w:tbl>
    <w:p>
      <w:pPr>
        <w:pStyle w:val="Heading1"/>
      </w:pPr>
      <w:r>
        <w:rPr>
          <w:rFonts w:ascii="Arial" w:hAnsi="Arial" w:eastAsia="Arial"/>
          <w:sz w:val="22"/>
        </w:rPr>
        <w:t>9. Paginação, filtros e ordenação</w:t>
      </w:r>
    </w:p>
    <w:p>
      <w:r>
        <w:rPr>
          <w:rFonts w:ascii="Arial" w:hAnsi="Arial" w:eastAsia="Arial"/>
          <w:sz w:val="21"/>
        </w:rPr>
        <w:t>Listas com crescimento potencial usarão paginação baseada em cursor/connections. O limite inicial recomendado é conservador, com default de 20 itens, MaxPageSize de 50 e teto administrativo de 100 apenas quando justificado.</w:t>
      </w:r>
    </w:p>
    <w:p>
      <w:pPr>
        <w:pStyle w:val="ListBullet"/>
      </w:pPr>
      <w:r>
        <w:rPr>
          <w:rFonts w:ascii="Arial" w:hAnsi="Arial" w:eastAsia="Arial"/>
          <w:sz w:val="21"/>
        </w:rPr>
        <w:t>Filtering e sorting serão expostos somente para campos úteis ao caso de uso.</w:t>
      </w:r>
    </w:p>
    <w:p>
      <w:pPr>
        <w:pStyle w:val="ListBullet"/>
      </w:pPr>
      <w:r>
        <w:rPr>
          <w:rFonts w:ascii="Arial" w:hAnsi="Arial" w:eastAsia="Arial"/>
          <w:sz w:val="21"/>
        </w:rPr>
        <w:t>Projections devem permitir que o banco consulte apenas colunas necessárias quando compatível com o resolver.</w:t>
      </w:r>
    </w:p>
    <w:p>
      <w:pPr>
        <w:pStyle w:val="ListBullet"/>
      </w:pPr>
      <w:r>
        <w:rPr>
          <w:rFonts w:ascii="Arial" w:hAnsi="Arial" w:eastAsia="Arial"/>
          <w:sz w:val="21"/>
        </w:rPr>
        <w:t>Paginação é obrigatória para históricos, transações, metas, módulos, recompensas e orientações quando o volume puder crescer.</w:t>
      </w:r>
    </w:p>
    <w:p>
      <w:pPr>
        <w:pStyle w:val="ListBullet"/>
      </w:pPr>
      <w:r>
        <w:rPr>
          <w:rFonts w:ascii="Arial" w:hAnsi="Arial" w:eastAsia="Arial"/>
          <w:sz w:val="21"/>
        </w:rPr>
        <w:t>O frontend não deve requisitar listas ilimitadas para montar o dashboard.</w:t>
      </w:r>
    </w:p>
    <w:p>
      <w:pPr>
        <w:pStyle w:val="Heading1"/>
      </w:pPr>
      <w:r>
        <w:rPr>
          <w:rFonts w:ascii="Arial" w:hAnsi="Arial" w:eastAsia="Arial"/>
          <w:sz w:val="22"/>
        </w:rPr>
        <w:t>10. DataLoader e N+1</w:t>
      </w:r>
    </w:p>
    <w:p>
      <w:r>
        <w:rPr>
          <w:rFonts w:ascii="Arial" w:hAnsi="Arial" w:eastAsia="Arial"/>
          <w:sz w:val="21"/>
        </w:rPr>
        <w:t>Relacionamentos GraphQL podem causar N+1 quando cada item dispara uma nova consulta. O LifeQuest utilizará DataLoader/batch resolvers para relacionamentos que não sejam resolvidos eficientemente por projections. O uso de DbContext compartilhado em resolvers concorrentes deve respeitar o modelo de escopo e thread safety.</w:t>
      </w:r>
    </w:p>
    <w:p>
      <w:pPr>
        <w:pStyle w:val="Heading1"/>
      </w:pPr>
      <w:r>
        <w:rPr>
          <w:rFonts w:ascii="Arial" w:hAnsi="Arial" w:eastAsia="Arial"/>
          <w:sz w:val="22"/>
        </w:rPr>
        <w:t>11. Erros GraphQL</w:t>
      </w:r>
    </w:p>
    <w:p>
      <w:r>
        <w:rPr>
          <w:rFonts w:ascii="Arial" w:hAnsi="Arial" w:eastAsia="Arial"/>
          <w:sz w:val="21"/>
        </w:rPr>
        <w:t>Erros seguirão o modelo GraphQL: responses podem conter data, errors e extensions. Erros de negócio devem possuir códigos estáveis em extensions para que o frontend não dependa do texto da mensagem.</w:t>
      </w:r>
    </w:p>
    <w:p>
      <w:pPr>
        <w:spacing w:before="60" w:after="120"/>
        <w:ind w:left="360"/>
      </w:pPr>
      <w:r>
        <w:rPr>
          <w:rFonts w:ascii="Arial" w:hAnsi="Arial" w:eastAsia="Arial"/>
          <w:sz w:val="18"/>
        </w:rPr>
        <w:t>{</w:t>
        <w:br/>
        <w:t xml:space="preserve">  "data": { "redeemReward": null },</w:t>
        <w:br/>
        <w:t xml:space="preserve">  "errors": [{</w:t>
        <w:br/>
        <w:t xml:space="preserve">    "message": "A recompensa não está disponível para resgate.",</w:t>
        <w:br/>
        <w:t xml:space="preserve">    "extensions": {</w:t>
        <w:br/>
        <w:t xml:space="preserve">      "code": "REWARD_NOT_AVAILABLE",</w:t>
        <w:br/>
        <w:t xml:space="preserve">      "correlationId": "..."</w:t>
        <w:br/>
        <w:t xml:space="preserve">    }</w:t>
        <w:br/>
        <w:t xml:space="preserve">  }]</w:t>
        <w:br/>
        <w:t>}</w:t>
      </w:r>
    </w:p>
    <w:tbl>
      <w:tblPr>
        <w:tblStyle w:val="TableGrid"/>
        <w:tblW w:type="auto" w:w="0"/>
        <w:jc w:val="center"/>
        <w:tblLook w:firstColumn="1" w:firstRow="1" w:lastColumn="0" w:lastRow="0" w:noHBand="0" w:noVBand="1" w:val="04A0"/>
      </w:tblPr>
      <w:tblGrid>
        <w:gridCol w:w="4968"/>
        <w:gridCol w:w="4968"/>
      </w:tblGrid>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Categoria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Exemplos de código</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Validação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VALIDATION_ERROR, INVALID_ACTIVITY_DATE</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Autorização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FORBIDDEN, PROFESSIONAL_LINK_REQUIRED</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Recurso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GOAL_NOT_FOUND, MODULE_NOT_FOUND</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Regra de negócio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GOAL_ALREADY_COMPLETED, REWARD_NOT_AVAILABLE</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Concorrência/idempotência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CONFLICT, IDEMPOTENCY_CONFLICT</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Infraestrutura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INTERNAL_ERROR; detalhes internos nunca expostos</w:t>
            </w:r>
          </w:p>
        </w:tc>
      </w:tr>
    </w:tbl>
    <w:p>
      <w:pPr>
        <w:pStyle w:val="Heading1"/>
      </w:pPr>
      <w:r>
        <w:rPr>
          <w:rFonts w:ascii="Arial" w:hAnsi="Arial" w:eastAsia="Arial"/>
          <w:sz w:val="22"/>
        </w:rPr>
        <w:t>12. Autenticação e autorização</w:t>
      </w:r>
    </w:p>
    <w:p>
      <w:r>
        <w:rPr>
          <w:rFonts w:ascii="Arial" w:hAnsi="Arial" w:eastAsia="Arial"/>
          <w:sz w:val="21"/>
        </w:rPr>
        <w:t>Hot Chocolate reutilizará o sistema de autenticação/autorização do ASP.NET Core. Roles conceituais: Admin, Psychologist, Coach e User. Acesso profissional requer Role + ProfessionalLink ativo + permissão sobre o recurso.</w:t>
      </w:r>
    </w:p>
    <w:p>
      <w:pPr>
        <w:pStyle w:val="ListBullet"/>
      </w:pPr>
      <w:r>
        <w:rPr>
          <w:rFonts w:ascii="Arial" w:hAnsi="Arial" w:eastAsia="Arial"/>
          <w:sz w:val="21"/>
        </w:rPr>
        <w:t>Resolvers podem aplicar policies no schema/código, mas verificações de ownership e vínculo permanecem na Application.</w:t>
      </w:r>
    </w:p>
    <w:p>
      <w:pPr>
        <w:pStyle w:val="ListBullet"/>
      </w:pPr>
      <w:r>
        <w:rPr>
          <w:rFonts w:ascii="Arial" w:hAnsi="Arial" w:eastAsia="Arial"/>
          <w:sz w:val="21"/>
        </w:rPr>
        <w:t>O usuário só acessa seus próprios módulos, metas, temporada e Roda da Vida, salvo compartilhamento explícito.</w:t>
      </w:r>
    </w:p>
    <w:p>
      <w:pPr>
        <w:pStyle w:val="ListBullet"/>
      </w:pPr>
      <w:r>
        <w:rPr>
          <w:rFonts w:ascii="Arial" w:hAnsi="Arial" w:eastAsia="Arial"/>
          <w:sz w:val="21"/>
        </w:rPr>
        <w:t>Psicólogo/Coach não recebem acesso global por possuir a Role.</w:t>
      </w:r>
    </w:p>
    <w:p>
      <w:pPr>
        <w:pStyle w:val="ListBullet"/>
      </w:pPr>
      <w:r>
        <w:rPr>
          <w:rFonts w:ascii="Arial" w:hAnsi="Arial" w:eastAsia="Arial"/>
          <w:sz w:val="21"/>
        </w:rPr>
        <w:t>Revogação do vínculo deve bloquear imediatamente novas consultas autorizadas pelo vínculo.</w:t>
      </w:r>
    </w:p>
    <w:p>
      <w:pPr>
        <w:pStyle w:val="Heading1"/>
      </w:pPr>
      <w:r>
        <w:rPr>
          <w:rFonts w:ascii="Arial" w:hAnsi="Arial" w:eastAsia="Arial"/>
          <w:sz w:val="22"/>
        </w:rPr>
        <w:t>13. Idempotência</w:t>
      </w:r>
    </w:p>
    <w:p>
      <w:r>
        <w:rPr>
          <w:rFonts w:ascii="Arial" w:hAnsi="Arial" w:eastAsia="Arial"/>
          <w:sz w:val="21"/>
        </w:rPr>
        <w:t>Mutations críticas aceitarão idempotencyKey UUID fornecida pelo cliente. O backend registra o resultado da primeira execução e impede que retries produzam efeitos duplicados.</w:t>
      </w:r>
    </w:p>
    <w:tbl>
      <w:tblPr>
        <w:tblStyle w:val="TableGrid"/>
        <w:tblW w:type="auto" w:w="0"/>
        <w:jc w:val="center"/>
        <w:tblLook w:firstColumn="1" w:firstRow="1" w:lastColumn="0" w:lastRow="0" w:noHBand="0" w:noVBand="1" w:val="04A0"/>
      </w:tblPr>
      <w:tblGrid>
        <w:gridCol w:w="4968"/>
        <w:gridCol w:w="4968"/>
      </w:tblGrid>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Mutation</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Motivo</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completeGoal</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Evitar XP/conquista duplicados.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redeemReward</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Evitar resgate duplicado.</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applyTemplate</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Evitar criação duplicada de módulos/metas.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closeSeason</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Evitar fechamento repetido.</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transitionSeason</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Evitar copiar módulos/metas mais de uma vez.</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registerGoalProgress retroativo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Evitar duplicidade quando o cliente repetir a mesma operação.</w:t>
            </w:r>
          </w:p>
        </w:tc>
      </w:tr>
    </w:tbl>
    <w:p>
      <w:pPr>
        <w:pStyle w:val="Heading1"/>
      </w:pPr>
      <w:r>
        <w:rPr>
          <w:rFonts w:ascii="Arial" w:hAnsi="Arial" w:eastAsia="Arial"/>
          <w:sz w:val="22"/>
        </w:rPr>
        <w:t>14. Segurança e limites GraphQL</w:t>
      </w:r>
    </w:p>
    <w:p>
      <w:pPr>
        <w:pStyle w:val="ListBullet"/>
      </w:pPr>
      <w:r>
        <w:rPr>
          <w:rFonts w:ascii="Arial" w:hAnsi="Arial" w:eastAsia="Arial"/>
          <w:sz w:val="21"/>
        </w:rPr>
        <w:t>Cost analysis habilitada para rejeitar operações acima do orçamento antes da execução.</w:t>
      </w:r>
    </w:p>
    <w:p>
      <w:pPr>
        <w:pStyle w:val="ListBullet"/>
      </w:pPr>
      <w:r>
        <w:rPr>
          <w:rFonts w:ascii="Arial" w:hAnsi="Arial" w:eastAsia="Arial"/>
          <w:sz w:val="21"/>
        </w:rPr>
        <w:t>MaxPageSize e limites de request conservadores.</w:t>
      </w:r>
    </w:p>
    <w:p>
      <w:pPr>
        <w:pStyle w:val="ListBullet"/>
      </w:pPr>
      <w:r>
        <w:rPr>
          <w:rFonts w:ascii="Arial" w:hAnsi="Arial" w:eastAsia="Arial"/>
          <w:sz w:val="21"/>
        </w:rPr>
        <w:t>Introspection e Nitro completos apenas em ambientes autorizados; produção segue política restritiva.</w:t>
      </w:r>
    </w:p>
    <w:p>
      <w:pPr>
        <w:pStyle w:val="ListBullet"/>
      </w:pPr>
      <w:r>
        <w:rPr>
          <w:rFonts w:ascii="Arial" w:hAnsi="Arial" w:eastAsia="Arial"/>
          <w:sz w:val="21"/>
        </w:rPr>
        <w:t>Persisted/trusted operations são recomendadas para o frontend oficial antes de disponibilização pública.</w:t>
      </w:r>
    </w:p>
    <w:p>
      <w:pPr>
        <w:pStyle w:val="ListBullet"/>
      </w:pPr>
      <w:r>
        <w:rPr>
          <w:rFonts w:ascii="Arial" w:hAnsi="Arial" w:eastAsia="Arial"/>
          <w:sz w:val="21"/>
        </w:rPr>
        <w:t>Rate limiting no gateway/API para login, mutations sensíveis e workloads caros.</w:t>
      </w:r>
    </w:p>
    <w:p>
      <w:pPr>
        <w:pStyle w:val="ListBullet"/>
      </w:pPr>
      <w:r>
        <w:rPr>
          <w:rFonts w:ascii="Arial" w:hAnsi="Arial" w:eastAsia="Arial"/>
          <w:sz w:val="21"/>
        </w:rPr>
        <w:t>Timeouts e cancelamento propagado para banco, broker e integrações externas.</w:t>
      </w:r>
    </w:p>
    <w:p>
      <w:pPr>
        <w:pStyle w:val="ListBullet"/>
      </w:pPr>
      <w:r>
        <w:rPr>
          <w:rFonts w:ascii="Arial" w:hAnsi="Arial" w:eastAsia="Arial"/>
          <w:sz w:val="21"/>
        </w:rPr>
        <w:t>Nunca registrar tokens, senhas ou conteúdo pessoal sensível em logs de request.</w:t>
      </w:r>
    </w:p>
    <w:p>
      <w:pPr>
        <w:pStyle w:val="Heading1"/>
      </w:pPr>
      <w:r>
        <w:rPr>
          <w:rFonts w:ascii="Arial" w:hAnsi="Arial" w:eastAsia="Arial"/>
          <w:sz w:val="22"/>
        </w:rPr>
        <w:t>15. Persisted Operations</w:t>
      </w:r>
    </w:p>
    <w:p>
      <w:r>
        <w:rPr>
          <w:rFonts w:ascii="Arial" w:hAnsi="Arial" w:eastAsia="Arial"/>
          <w:sz w:val="21"/>
        </w:rPr>
        <w:t>Como o React será um cliente oficial controlado pelo LifeQuest, operações persistidas são uma evolução recomendada para produção. O cliente envia hash/identificador de uma operação conhecida; o servidor pode rejeitar operações não registradas conforme a política adotada. Isso reduz superfície para queries arbitrárias e melhora previsibilidade operacional.</w:t>
      </w:r>
    </w:p>
    <w:p>
      <w:pPr>
        <w:pStyle w:val="Heading1"/>
      </w:pPr>
      <w:r>
        <w:rPr>
          <w:rFonts w:ascii="Arial" w:hAnsi="Arial" w:eastAsia="Arial"/>
          <w:sz w:val="22"/>
        </w:rPr>
        <w:t>16. REST auxiliar</w:t>
      </w:r>
    </w:p>
    <w:p>
      <w:r>
        <w:rPr>
          <w:rFonts w:ascii="Arial" w:hAnsi="Arial" w:eastAsia="Arial"/>
          <w:sz w:val="21"/>
        </w:rPr>
        <w:t>GraphQL não substituirá endpoints que são naturalmente operacionais. Esses endpoints permanecem versionados em /api/v1 e documentados por OpenAPI.</w:t>
      </w:r>
    </w:p>
    <w:tbl>
      <w:tblPr>
        <w:tblStyle w:val="TableGrid"/>
        <w:tblW w:type="auto" w:w="0"/>
        <w:jc w:val="center"/>
        <w:tblLook w:firstColumn="1" w:firstRow="1" w:lastColumn="0" w:lastRow="0" w:noHBand="0" w:noVBand="1" w:val="04A0"/>
      </w:tblPr>
      <w:tblGrid>
        <w:gridCol w:w="4968"/>
        <w:gridCol w:w="4968"/>
      </w:tblGrid>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Área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Exemplos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Autenticação</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/api/v1/auth/login, refresh, logout, reset-password</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Infraestrutura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/health/live, /health/ready</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OpenAPI</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/openapi/v1.json</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Integrações futuras</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webhooks/callbacks quando o protocolo externo exigir HTTP específico</w:t>
            </w:r>
          </w:p>
        </w:tc>
      </w:tr>
    </w:tbl>
    <w:p>
      <w:r>
        <w:rPr>
          <w:rFonts w:ascii="Arial" w:hAnsi="Arial" w:eastAsia="Arial"/>
          <w:sz w:val="21"/>
        </w:rPr>
        <w:t>Não deve existir um endpoint REST paralelo para cada Query/Mutation GraphQL. REST auxiliar existe por necessidade técnica, não como duplicação do contrato.</w:t>
      </w:r>
    </w:p>
    <w:p>
      <w:pPr>
        <w:pStyle w:val="Heading1"/>
      </w:pPr>
      <w:r>
        <w:rPr>
          <w:rFonts w:ascii="Arial" w:hAnsi="Arial" w:eastAsia="Arial"/>
          <w:sz w:val="22"/>
        </w:rPr>
        <w:t>17. OpenAPI e Scalar</w:t>
      </w:r>
    </w:p>
    <w:p>
      <w:r>
        <w:rPr>
          <w:rFonts w:ascii="Arial" w:hAnsi="Arial" w:eastAsia="Arial"/>
          <w:sz w:val="21"/>
        </w:rPr>
        <w:t>ASP.NET Core gerará OpenAPI para os endpoints REST auxiliares. Scalar será utilizado como interface interativa para essa documentação. Scalar não documenta o schema GraphQL; o contrato GraphQL é explorado pelo schema/Nitro e por documentação própria.</w:t>
      </w:r>
    </w:p>
    <w:p>
      <w:pPr>
        <w:pStyle w:val="Heading1"/>
      </w:pPr>
      <w:r>
        <w:rPr>
          <w:rFonts w:ascii="Arial" w:hAnsi="Arial" w:eastAsia="Arial"/>
          <w:sz w:val="22"/>
        </w:rPr>
        <w:t>18. API Gateway com YARP</w:t>
      </w:r>
    </w:p>
    <w:p>
      <w:r>
        <w:rPr>
          <w:rFonts w:ascii="Arial" w:hAnsi="Arial" w:eastAsia="Arial"/>
          <w:sz w:val="21"/>
        </w:rPr>
        <w:t>LifeQuest.Gateway utilizará YARP como reverse proxy. Ele começará localmente e poderá evoluir para uma camada de borda em cloud.</w:t>
      </w:r>
    </w:p>
    <w:tbl>
      <w:tblPr>
        <w:tblStyle w:val="TableGrid"/>
        <w:tblW w:type="auto" w:w="0"/>
        <w:jc w:val="center"/>
        <w:tblLook w:firstColumn="1" w:firstRow="1" w:lastColumn="0" w:lastRow="0" w:noHBand="0" w:noVBand="1" w:val="04A0"/>
      </w:tblPr>
      <w:tblGrid>
        <w:gridCol w:w="4968"/>
        <w:gridCol w:w="4968"/>
      </w:tblGrid>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Rota externa</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Destino inicial</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/graphql</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LifeQuest.Api / Hot Chocolate</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/api/v1/*</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LifeQuest.Api / REST auxiliar</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/health/*</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serviço correspondente ou agregação de health</w:t>
            </w:r>
          </w:p>
        </w:tc>
      </w:tr>
    </w:tbl>
    <w:p>
      <w:pPr>
        <w:pStyle w:val="ListBullet"/>
      </w:pPr>
      <w:r>
        <w:rPr>
          <w:rFonts w:ascii="Arial" w:hAnsi="Arial" w:eastAsia="Arial"/>
          <w:sz w:val="21"/>
        </w:rPr>
        <w:t>O gateway pode aplicar correlation ID, rate limiting, CORS e políticas de autenticação de borda.</w:t>
      </w:r>
    </w:p>
    <w:p>
      <w:pPr>
        <w:pStyle w:val="ListBullet"/>
      </w:pPr>
      <w:r>
        <w:rPr>
          <w:rFonts w:ascii="Arial" w:hAnsi="Arial" w:eastAsia="Arial"/>
          <w:sz w:val="21"/>
        </w:rPr>
        <w:t>Autorização de domínio continua no serviço responsável; não deve depender exclusivamente do gateway.</w:t>
      </w:r>
    </w:p>
    <w:p>
      <w:pPr>
        <w:pStyle w:val="ListBullet"/>
      </w:pPr>
      <w:r>
        <w:rPr>
          <w:rFonts w:ascii="Arial" w:hAnsi="Arial" w:eastAsia="Arial"/>
          <w:sz w:val="21"/>
        </w:rPr>
        <w:t>A configuração de routes/clusters deve ser externa e preparada para futura extração de microserviços.</w:t>
      </w:r>
    </w:p>
    <w:p>
      <w:pPr>
        <w:pStyle w:val="Heading1"/>
      </w:pPr>
      <w:r>
        <w:rPr>
          <w:rFonts w:ascii="Arial" w:hAnsi="Arial" w:eastAsia="Arial"/>
          <w:sz w:val="22"/>
        </w:rPr>
        <w:t>19. Versionamento e evolução</w:t>
      </w:r>
    </w:p>
    <w:p>
      <w:pPr>
        <w:pStyle w:val="Heading2"/>
      </w:pPr>
      <w:r>
        <w:rPr>
          <w:rFonts w:ascii="Arial" w:hAnsi="Arial" w:eastAsia="Arial"/>
          <w:sz w:val="22"/>
        </w:rPr>
        <w:t>19.1 GraphQL</w:t>
      </w:r>
    </w:p>
    <w:p>
      <w:pPr>
        <w:pStyle w:val="ListBullet"/>
      </w:pPr>
      <w:r>
        <w:rPr>
          <w:rFonts w:ascii="Arial" w:hAnsi="Arial" w:eastAsia="Arial"/>
          <w:sz w:val="21"/>
        </w:rPr>
        <w:t>Endpoint estável: /graphql, sem /v1.</w:t>
      </w:r>
    </w:p>
    <w:p>
      <w:pPr>
        <w:pStyle w:val="ListBullet"/>
      </w:pPr>
      <w:r>
        <w:rPr>
          <w:rFonts w:ascii="Arial" w:hAnsi="Arial" w:eastAsia="Arial"/>
          <w:sz w:val="21"/>
        </w:rPr>
        <w:t>Novos campos/tipos são preferencialmente aditivos.</w:t>
      </w:r>
    </w:p>
    <w:p>
      <w:pPr>
        <w:pStyle w:val="ListBullet"/>
      </w:pPr>
      <w:r>
        <w:rPr>
          <w:rFonts w:ascii="Arial" w:hAnsi="Arial" w:eastAsia="Arial"/>
          <w:sz w:val="21"/>
        </w:rPr>
        <w:t>Campos substituídos devem ser marcados como deprecated antes da remoção.</w:t>
      </w:r>
    </w:p>
    <w:p>
      <w:pPr>
        <w:pStyle w:val="ListBullet"/>
      </w:pPr>
      <w:r>
        <w:rPr>
          <w:rFonts w:ascii="Arial" w:hAnsi="Arial" w:eastAsia="Arial"/>
          <w:sz w:val="21"/>
        </w:rPr>
        <w:t>Mudanças incompatíveis exigem ADR, janela de migração e atualização coordenada dos consumidores.</w:t>
      </w:r>
    </w:p>
    <w:p>
      <w:pPr>
        <w:pStyle w:val="ListBullet"/>
      </w:pPr>
      <w:r>
        <w:rPr>
          <w:rFonts w:ascii="Arial" w:hAnsi="Arial" w:eastAsia="Arial"/>
          <w:sz w:val="21"/>
        </w:rPr>
        <w:t>A versão do Hot Chocolate deve ser fixada no projeto e atualizações com breaking changes tratadas explicitamente.</w:t>
      </w:r>
    </w:p>
    <w:p>
      <w:pPr>
        <w:pStyle w:val="Heading2"/>
      </w:pPr>
      <w:r>
        <w:rPr>
          <w:rFonts w:ascii="Arial" w:hAnsi="Arial" w:eastAsia="Arial"/>
          <w:sz w:val="22"/>
        </w:rPr>
        <w:t>19.2 REST auxiliar</w:t>
      </w:r>
    </w:p>
    <w:p>
      <w:r>
        <w:rPr>
          <w:rFonts w:ascii="Arial" w:hAnsi="Arial" w:eastAsia="Arial"/>
          <w:sz w:val="21"/>
        </w:rPr>
        <w:t>REST auxiliar utiliza versionamento na URL, inicialmente /api/v1. Mudanças incompatíveis podem introduzir /api/v2 sem afetar o schema GraphQL.</w:t>
      </w:r>
    </w:p>
    <w:p>
      <w:pPr>
        <w:pStyle w:val="Heading1"/>
      </w:pPr>
      <w:r>
        <w:rPr>
          <w:rFonts w:ascii="Arial" w:hAnsi="Arial" w:eastAsia="Arial"/>
          <w:sz w:val="22"/>
        </w:rPr>
        <w:t>20. Subscriptions e tempo real</w:t>
      </w:r>
    </w:p>
    <w:p>
      <w:r>
        <w:rPr>
          <w:rFonts w:ascii="Arial" w:hAnsi="Arial" w:eastAsia="Arial"/>
          <w:sz w:val="21"/>
        </w:rPr>
        <w:t>Subscriptions não fazem parte do MVP. Poderão ser adotadas quando houver necessidade real de atualização em tempo real, por exemplo notificação de conteúdo de IA concluído ou alteração de status de processo assíncrono. Até lá, queries/refetch são suficientes e operacionalmente mais simples.</w:t>
      </w:r>
    </w:p>
    <w:p>
      <w:pPr>
        <w:pStyle w:val="Heading1"/>
      </w:pPr>
      <w:r>
        <w:rPr>
          <w:rFonts w:ascii="Arial" w:hAnsi="Arial" w:eastAsia="Arial"/>
          <w:sz w:val="22"/>
        </w:rPr>
        <w:t>21. Observabilidade</w:t>
      </w:r>
    </w:p>
    <w:p>
      <w:pPr>
        <w:pStyle w:val="ListBullet"/>
      </w:pPr>
      <w:r>
        <w:rPr>
          <w:rFonts w:ascii="Arial" w:hAnsi="Arial" w:eastAsia="Arial"/>
          <w:sz w:val="21"/>
        </w:rPr>
        <w:t>Toda operação GraphQL deve possuir operationName em clientes oficiais.</w:t>
      </w:r>
    </w:p>
    <w:p>
      <w:pPr>
        <w:pStyle w:val="ListBullet"/>
      </w:pPr>
      <w:r>
        <w:rPr>
          <w:rFonts w:ascii="Arial" w:hAnsi="Arial" w:eastAsia="Arial"/>
          <w:sz w:val="21"/>
        </w:rPr>
        <w:t>CorrelationId/TraceId propagado Gateway -&gt; GraphQL -&gt; Application -&gt; banco/broker/workers.</w:t>
      </w:r>
    </w:p>
    <w:p>
      <w:pPr>
        <w:pStyle w:val="ListBullet"/>
      </w:pPr>
      <w:r>
        <w:rPr>
          <w:rFonts w:ascii="Arial" w:hAnsi="Arial" w:eastAsia="Arial"/>
          <w:sz w:val="21"/>
        </w:rPr>
        <w:t>Métricas: latência por operação, taxa de erro, custo GraphQL, queries rejeitadas, tamanho de página e chamadas ao banco.</w:t>
      </w:r>
    </w:p>
    <w:p>
      <w:pPr>
        <w:pStyle w:val="ListBullet"/>
      </w:pPr>
      <w:r>
        <w:rPr>
          <w:rFonts w:ascii="Arial" w:hAnsi="Arial" w:eastAsia="Arial"/>
          <w:sz w:val="21"/>
        </w:rPr>
        <w:t>Logs de erro devem registrar código e contexto técnico mínimo, sem dados sensíveis.</w:t>
      </w:r>
    </w:p>
    <w:p>
      <w:pPr>
        <w:pStyle w:val="ListBullet"/>
      </w:pPr>
      <w:r>
        <w:rPr>
          <w:rFonts w:ascii="Arial" w:hAnsi="Arial" w:eastAsia="Arial"/>
          <w:sz w:val="21"/>
        </w:rPr>
        <w:t>OpenTelemetry será a base de tracing distribuído.</w:t>
      </w:r>
    </w:p>
    <w:p>
      <w:pPr>
        <w:pStyle w:val="Heading1"/>
      </w:pPr>
      <w:r>
        <w:rPr>
          <w:rFonts w:ascii="Arial" w:hAnsi="Arial" w:eastAsia="Arial"/>
          <w:sz w:val="22"/>
        </w:rPr>
        <w:t>22. Exemplos de contrato por domínio</w:t>
      </w:r>
    </w:p>
    <w:p>
      <w:pPr>
        <w:pStyle w:val="Heading2"/>
      </w:pPr>
      <w:r>
        <w:rPr>
          <w:rFonts w:ascii="Arial" w:hAnsi="Arial" w:eastAsia="Arial"/>
          <w:sz w:val="22"/>
        </w:rPr>
        <w:t>22.1 Módulos</w:t>
      </w:r>
    </w:p>
    <w:p>
      <w:pPr>
        <w:spacing w:before="60" w:after="120"/>
        <w:ind w:left="360"/>
      </w:pPr>
      <w:r>
        <w:rPr>
          <w:rFonts w:ascii="Arial" w:hAnsi="Arial" w:eastAsia="Arial"/>
          <w:sz w:val="18"/>
        </w:rPr>
        <w:t>type Module {</w:t>
        <w:br/>
        <w:t xml:space="preserve">  id: UUID!</w:t>
        <w:br/>
        <w:t xml:space="preserve">  name: String!</w:t>
        <w:br/>
        <w:t xml:space="preserve">  description: String</w:t>
        <w:br/>
        <w:t xml:space="preserve">  progressPercentage: Decimal!</w:t>
        <w:br/>
        <w:t xml:space="preserve">  goals(first: Int, after: String): GoalConnection!</w:t>
        <w:br/>
        <w:t>}</w:t>
        <w:br/>
        <w:br/>
        <w:t>type Mutation {</w:t>
        <w:br/>
        <w:t xml:space="preserve">  createModule(input: CreateModuleInput!): CreateModulePayload!</w:t>
        <w:br/>
        <w:t xml:space="preserve">  updateModule(input: UpdateModuleInput!): UpdateModulePayload!</w:t>
        <w:br/>
        <w:t xml:space="preserve">  archiveModule(input: ArchiveModuleInput!): ArchiveModulePayload!</w:t>
        <w:br/>
        <w:t xml:space="preserve">  deleteModule(input: DeleteModuleInput!): DeleteModulePayload!</w:t>
        <w:br/>
        <w:t>}</w:t>
      </w:r>
    </w:p>
    <w:p>
      <w:pPr>
        <w:pStyle w:val="Heading2"/>
      </w:pPr>
      <w:r>
        <w:rPr>
          <w:rFonts w:ascii="Arial" w:hAnsi="Arial" w:eastAsia="Arial"/>
          <w:sz w:val="22"/>
        </w:rPr>
        <w:t>22.2 Meta</w:t>
      </w:r>
    </w:p>
    <w:p>
      <w:pPr>
        <w:spacing w:before="60" w:after="120"/>
        <w:ind w:left="360"/>
      </w:pPr>
      <w:r>
        <w:rPr>
          <w:rFonts w:ascii="Arial" w:hAnsi="Arial" w:eastAsia="Arial"/>
          <w:sz w:val="18"/>
        </w:rPr>
        <w:t>input RegisterGoalProgressInput {</w:t>
        <w:br/>
        <w:t xml:space="preserve">  goalId: UUID!</w:t>
        <w:br/>
        <w:t xml:space="preserve">  activityDate: Date!</w:t>
        <w:br/>
        <w:t xml:space="preserve">  durationMinutes: Int</w:t>
        <w:br/>
        <w:t xml:space="preserve">  quantity: Decimal</w:t>
        <w:br/>
        <w:t xml:space="preserve">  intensity: Int</w:t>
        <w:br/>
        <w:t xml:space="preserve">  notes: String</w:t>
        <w:br/>
        <w:t xml:space="preserve">  idempotencyKey: UUID!</w:t>
        <w:br/>
        <w:t>}</w:t>
      </w:r>
    </w:p>
    <w:p>
      <w:pPr>
        <w:pStyle w:val="Heading2"/>
      </w:pPr>
      <w:r>
        <w:rPr>
          <w:rFonts w:ascii="Arial" w:hAnsi="Arial" w:eastAsia="Arial"/>
          <w:sz w:val="22"/>
        </w:rPr>
        <w:t>22.3 Temporada</w:t>
      </w:r>
    </w:p>
    <w:p>
      <w:pPr>
        <w:spacing w:before="60" w:after="120"/>
        <w:ind w:left="360"/>
      </w:pPr>
      <w:r>
        <w:rPr>
          <w:rFonts w:ascii="Arial" w:hAnsi="Arial" w:eastAsia="Arial"/>
          <w:sz w:val="18"/>
        </w:rPr>
        <w:t>input TransitionSeasonInput {</w:t>
        <w:br/>
        <w:t xml:space="preserve">  seasonId: UUID!</w:t>
        <w:br/>
        <w:t xml:space="preserve">  modules: [SeasonModuleSelectionInput!]!</w:t>
        <w:br/>
        <w:t xml:space="preserve">  idempotencyKey: UUID!</w:t>
        <w:br/>
        <w:t>}</w:t>
      </w:r>
    </w:p>
    <w:p>
      <w:pPr>
        <w:pStyle w:val="Heading1"/>
      </w:pPr>
      <w:r>
        <w:rPr>
          <w:rFonts w:ascii="Arial" w:hAnsi="Arial" w:eastAsia="Arial"/>
          <w:sz w:val="22"/>
        </w:rPr>
        <w:t>23. Testes de contrato</w:t>
      </w:r>
    </w:p>
    <w:p>
      <w:pPr>
        <w:pStyle w:val="ListBullet"/>
      </w:pPr>
      <w:r>
        <w:rPr>
          <w:rFonts w:ascii="Arial" w:hAnsi="Arial" w:eastAsia="Arial"/>
          <w:sz w:val="21"/>
        </w:rPr>
        <w:t>Snapshot/schema tests para detectar alterações acidentais no GraphQL schema.</w:t>
      </w:r>
    </w:p>
    <w:p>
      <w:pPr>
        <w:pStyle w:val="ListBullet"/>
      </w:pPr>
      <w:r>
        <w:rPr>
          <w:rFonts w:ascii="Arial" w:hAnsi="Arial" w:eastAsia="Arial"/>
          <w:sz w:val="21"/>
        </w:rPr>
        <w:t>Integration tests para queries/mutations críticas com autenticação e policies.</w:t>
      </w:r>
    </w:p>
    <w:p>
      <w:pPr>
        <w:pStyle w:val="ListBullet"/>
      </w:pPr>
      <w:r>
        <w:rPr>
          <w:rFonts w:ascii="Arial" w:hAnsi="Arial" w:eastAsia="Arial"/>
          <w:sz w:val="21"/>
        </w:rPr>
        <w:t>Testes de autorização para ownership e ProfessionalLink.</w:t>
      </w:r>
    </w:p>
    <w:p>
      <w:pPr>
        <w:pStyle w:val="ListBullet"/>
      </w:pPr>
      <w:r>
        <w:rPr>
          <w:rFonts w:ascii="Arial" w:hAnsi="Arial" w:eastAsia="Arial"/>
          <w:sz w:val="21"/>
        </w:rPr>
        <w:t>Testes de cost analysis/limites e paginação.</w:t>
      </w:r>
    </w:p>
    <w:p>
      <w:pPr>
        <w:pStyle w:val="ListBullet"/>
      </w:pPr>
      <w:r>
        <w:rPr>
          <w:rFonts w:ascii="Arial" w:hAnsi="Arial" w:eastAsia="Arial"/>
          <w:sz w:val="21"/>
        </w:rPr>
        <w:t>Testes de idempotência para mutations críticas.</w:t>
      </w:r>
    </w:p>
    <w:p>
      <w:pPr>
        <w:pStyle w:val="ListBullet"/>
      </w:pPr>
      <w:r>
        <w:rPr>
          <w:rFonts w:ascii="Arial" w:hAnsi="Arial" w:eastAsia="Arial"/>
          <w:sz w:val="21"/>
        </w:rPr>
        <w:t>Testes OpenAPI/Scalar apenas para REST auxiliar.</w:t>
      </w:r>
    </w:p>
    <w:p>
      <w:pPr>
        <w:pStyle w:val="Heading1"/>
      </w:pPr>
      <w:r>
        <w:rPr>
          <w:rFonts w:ascii="Arial" w:hAnsi="Arial" w:eastAsia="Arial"/>
          <w:sz w:val="22"/>
        </w:rPr>
        <w:t>24. Decisões a formalizar em ADR</w:t>
      </w:r>
    </w:p>
    <w:p>
      <w:pPr>
        <w:pStyle w:val="ListBullet"/>
      </w:pPr>
      <w:r>
        <w:rPr>
          <w:rFonts w:ascii="Arial" w:hAnsi="Arial" w:eastAsia="Arial"/>
          <w:sz w:val="21"/>
        </w:rPr>
        <w:t>Hot Chocolate e versão adotada.</w:t>
      </w:r>
    </w:p>
    <w:p>
      <w:pPr>
        <w:pStyle w:val="ListBullet"/>
      </w:pPr>
      <w:r>
        <w:rPr>
          <w:rFonts w:ascii="Arial" w:hAnsi="Arial" w:eastAsia="Arial"/>
          <w:sz w:val="21"/>
        </w:rPr>
        <w:t>Política de persisted/trusted operations em produção.</w:t>
      </w:r>
    </w:p>
    <w:p>
      <w:pPr>
        <w:pStyle w:val="ListBullet"/>
      </w:pPr>
      <w:r>
        <w:rPr>
          <w:rFonts w:ascii="Arial" w:hAnsi="Arial" w:eastAsia="Arial"/>
          <w:sz w:val="21"/>
        </w:rPr>
        <w:t>Orçamento inicial de cost analysis e limites de paginação.</w:t>
      </w:r>
    </w:p>
    <w:p>
      <w:pPr>
        <w:pStyle w:val="ListBullet"/>
      </w:pPr>
      <w:r>
        <w:rPr>
          <w:rFonts w:ascii="Arial" w:hAnsi="Arial" w:eastAsia="Arial"/>
          <w:sz w:val="21"/>
        </w:rPr>
        <w:t>Estratégia definitiva de token/sessão com ASP.NET Core Identity.</w:t>
      </w:r>
    </w:p>
    <w:p>
      <w:pPr>
        <w:pStyle w:val="ListBullet"/>
      </w:pPr>
      <w:r>
        <w:rPr>
          <w:rFonts w:ascii="Arial" w:hAnsi="Arial" w:eastAsia="Arial"/>
          <w:sz w:val="21"/>
        </w:rPr>
        <w:t>Política de Subscriptions caso tempo real seja introduzido.</w:t>
      </w:r>
    </w:p>
    <w:p>
      <w:pPr>
        <w:pStyle w:val="ListBullet"/>
      </w:pPr>
      <w:r>
        <w:rPr>
          <w:rFonts w:ascii="Arial" w:hAnsi="Arial" w:eastAsia="Arial"/>
          <w:sz w:val="21"/>
        </w:rPr>
        <w:t>Configuração e responsabilidades definitivas do YARP Gateway.</w:t>
      </w:r>
    </w:p>
    <w:p>
      <w:pPr>
        <w:pStyle w:val="Heading1"/>
      </w:pPr>
      <w:r>
        <w:rPr>
          <w:rFonts w:ascii="Arial" w:hAnsi="Arial" w:eastAsia="Arial"/>
          <w:sz w:val="22"/>
        </w:rPr>
        <w:t>25. Referências técnicas principais</w:t>
      </w:r>
    </w:p>
    <w:tbl>
      <w:tblPr>
        <w:tblStyle w:val="TableGrid"/>
        <w:tblW w:type="auto" w:w="0"/>
        <w:jc w:val="center"/>
        <w:tblLook w:firstColumn="1" w:firstRow="1" w:lastColumn="0" w:lastRow="0" w:noHBand="0" w:noVBand="1" w:val="04A0"/>
      </w:tblPr>
      <w:tblGrid>
        <w:gridCol w:w="4968"/>
        <w:gridCol w:w="4968"/>
      </w:tblGrid>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Fonte</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b/>
                <w:sz w:val="19"/>
              </w:rPr>
              <w:t>Referência</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GraphQL Specification Project</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GraphQL Specification - September 2025</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GraphQL Foundation</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Schemas and Types; Queries; Mutations; Response</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ChilliCream</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Hot Chocolate - GraphQL Server for .NET</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ChilliCream</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Authentication and Authorization</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ChilliCream</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Pagination, Projections, Filtering and Sorting</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ChilliCream</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Cost Analysis; Automatic Persisted Operations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ChilliCream</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Endpoints and Nitro GraphQL IDE</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Microsoft Learn</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YARP - Overview, Getting Started, Authentication and Authorization</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Microsoft Learn</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ASP.NET Core OpenAPI - Generate and use OpenAPI documents</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Microsoft Learn</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ASP.NET Core Rate Limiting and Policy-based Authorization</w:t>
            </w:r>
          </w:p>
        </w:tc>
      </w:tr>
      <w:tr>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Scalar</w:t>
            </w:r>
          </w:p>
        </w:tc>
        <w:tc>
          <w:tcPr>
            <w:tcW w:type="dxa" w:w="4968"/>
            <w:tcBorders>
              <w:top w:val="single" w:sz="6" w:color="000000"/>
              <w:left w:val="single" w:sz="6" w:color="000000"/>
              <w:bottom w:val="single" w:sz="6" w:color="000000"/>
              <w:right w:val="single" w:sz="6" w:color="000000"/>
            </w:tcBorders>
            <w:vAlign w:val="center"/>
          </w:tcPr>
          <w:p>
            <w:r>
              <w:rPr>
                <w:rFonts w:ascii="Arial" w:hAnsi="Arial" w:eastAsia="Arial"/>
                <w:sz w:val="18"/>
              </w:rPr>
              <w:t>API Reference for ASP.NET Core</w:t>
            </w:r>
          </w:p>
        </w:tc>
      </w:tr>
    </w:tbl>
    <w:p>
      <w:r>
        <w:rPr>
          <w:rFonts w:ascii="Arial" w:hAnsi="Arial" w:eastAsia="Arial"/>
          <w:sz w:val="21"/>
        </w:rPr>
        <w:t>DevMedia e Macoratti podem ser utilizados como material complementar de estudo, principalmente para exemplos em português. As decisões normativas do contrato priorizam especificação GraphQL e documentação oficial/primária das tecnologias adotadas.</w:t>
      </w:r>
    </w:p>
    <w:p>
      <w:pPr>
        <w:pStyle w:val="Heading1"/>
      </w:pPr>
      <w:r>
        <w:rPr>
          <w:rFonts w:ascii="Arial" w:hAnsi="Arial" w:eastAsia="Arial"/>
          <w:sz w:val="22"/>
        </w:rPr>
        <w:t>26. Resumo da decisão</w:t>
      </w:r>
    </w:p>
    <w:p>
      <w:r>
        <w:rPr>
          <w:rFonts w:ascii="Arial" w:hAnsi="Arial" w:eastAsia="Arial"/>
          <w:sz w:val="21"/>
        </w:rPr>
        <w:t>O LifeQuest adotará GraphQL como contrato principal para o frontend. Hot Chocolate expõe o schema em /graphql; LifeQuest.Gateway/YARP é o ponto de entrada; REST fica restrito a capacidades auxiliares versionadas e documentadas com OpenAPI + Scalar. O backend permanece soberano sobre cálculos e desbloqueios, enquanto segurança, paginação, cost analysis, idempotência, observabilidade e evolução de schema são partes obrigatórias do contrato.</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LifeQuest - Documento 06 - Contrato e Padrões da API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rPr>
  </w:style>
  <w:style w:type="paragraph" w:styleId="BodyText">
    <w:name w:val="Body Text"/>
    <w:basedOn w:val="Normal"/>
    <w:link w:val="BodyTextChar"/>
    <w:uiPriority w:val="99"/>
    <w:unhideWhenUsed/>
    <w:rsid w:val="00AA1D8D"/>
    <w:pPr>
      <w:spacing w:after="120"/>
    </w:pPr>
    <w:rPr>
      <w:rFonts w:ascii="Arial" w:hAnsi="Arial" w:eastAsia="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rPr>
  </w:style>
  <w:style w:type="paragraph" w:styleId="List2">
    <w:name w:val="List 2"/>
    <w:basedOn w:val="Normal"/>
    <w:uiPriority w:val="99"/>
    <w:unhideWhenUsed/>
    <w:rsid w:val="00326F90"/>
    <w:pPr>
      <w:ind w:left="720" w:hanging="360"/>
      <w:contextualSpacing/>
    </w:pPr>
    <w:rPr>
      <w:rFonts w:ascii="Arial" w:hAnsi="Arial" w:eastAsia="Arial"/>
    </w:rPr>
  </w:style>
  <w:style w:type="paragraph" w:styleId="List3">
    <w:name w:val="List 3"/>
    <w:basedOn w:val="Normal"/>
    <w:uiPriority w:val="99"/>
    <w:unhideWhenUsed/>
    <w:rsid w:val="00326F90"/>
    <w:pPr>
      <w:ind w:left="1080" w:hanging="360"/>
      <w:contextualSpacing/>
    </w:pPr>
    <w:rPr>
      <w:rFonts w:ascii="Arial" w:hAnsi="Arial" w:eastAsia="Arial"/>
    </w:r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rPr>
      <w:rFonts w:ascii="Arial" w:hAnsi="Arial" w:eastAsia="Arial"/>
    </w:rPr>
  </w:style>
  <w:style w:type="paragraph" w:styleId="ListBullet3">
    <w:name w:val="List Bullet 3"/>
    <w:basedOn w:val="Normal"/>
    <w:uiPriority w:val="99"/>
    <w:unhideWhenUsed/>
    <w:rsid w:val="00326F90"/>
    <w:pPr>
      <w:numPr>
        <w:numId w:val="3"/>
      </w:numPr>
      <w:contextualSpacing/>
    </w:pPr>
    <w:rPr>
      <w:rFonts w:ascii="Arial" w:hAnsi="Arial" w:eastAsia="Arial"/>
    </w:r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rPr>
      <w:rFonts w:ascii="Arial" w:hAnsi="Arial" w:eastAsia="Arial"/>
    </w:rPr>
  </w:style>
  <w:style w:type="paragraph" w:styleId="ListNumber3">
    <w:name w:val="List Number 3"/>
    <w:basedOn w:val="Normal"/>
    <w:uiPriority w:val="99"/>
    <w:unhideWhenUsed/>
    <w:rsid w:val="0029639D"/>
    <w:pPr>
      <w:numPr>
        <w:numId w:val="7"/>
      </w:numPr>
      <w:contextualSpacing/>
    </w:pPr>
    <w:rPr>
      <w:rFonts w:ascii="Arial" w:hAnsi="Arial" w:eastAsia="Arial"/>
    </w:rPr>
  </w:style>
  <w:style w:type="paragraph" w:styleId="ListContinue">
    <w:name w:val="List Continue"/>
    <w:basedOn w:val="Normal"/>
    <w:uiPriority w:val="99"/>
    <w:unhideWhenUsed/>
    <w:rsid w:val="0029639D"/>
    <w:pPr>
      <w:spacing w:after="120"/>
      <w:ind w:left="360"/>
      <w:contextualSpacing/>
    </w:pPr>
    <w:rPr>
      <w:rFonts w:ascii="Arial" w:hAnsi="Arial" w:eastAsia="Arial"/>
    </w:rPr>
  </w:style>
  <w:style w:type="paragraph" w:styleId="ListContinue2">
    <w:name w:val="List Continue 2"/>
    <w:basedOn w:val="Normal"/>
    <w:uiPriority w:val="99"/>
    <w:unhideWhenUsed/>
    <w:rsid w:val="0029639D"/>
    <w:pPr>
      <w:spacing w:after="120"/>
      <w:ind w:left="720"/>
      <w:contextualSpacing/>
    </w:pPr>
    <w:rPr>
      <w:rFonts w:ascii="Arial" w:hAnsi="Arial" w:eastAsia="Arial"/>
    </w:rPr>
  </w:style>
  <w:style w:type="paragraph" w:styleId="ListContinue3">
    <w:name w:val="List Continue 3"/>
    <w:basedOn w:val="Normal"/>
    <w:uiPriority w:val="99"/>
    <w:unhideWhenUsed/>
    <w:rsid w:val="0029639D"/>
    <w:pPr>
      <w:spacing w:after="120"/>
      <w:ind w:left="1080"/>
      <w:contextualSpacing/>
    </w:pPr>
    <w:rPr>
      <w:rFonts w:ascii="Arial" w:hAnsi="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