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rial" w:hAnsi="Arial"/>
          <w:b/>
          <w:sz w:val="48"/>
        </w:rPr>
        <w:t>LIFEQUEST</w:t>
      </w:r>
    </w:p>
    <w:p>
      <w:pPr>
        <w:jc w:val="center"/>
      </w:pPr>
      <w:r>
        <w:rPr>
          <w:rFonts w:ascii="Arial" w:hAnsi="Arial"/>
          <w:b/>
          <w:sz w:val="32"/>
        </w:rPr>
        <w:t>Documento 08 - Architecture Decision Records (ADRs)</w:t>
      </w:r>
    </w:p>
    <w:p>
      <w:pPr>
        <w:spacing w:before="240"/>
        <w:jc w:val="center"/>
      </w:pPr>
      <w:r>
        <w:rPr>
          <w:rFonts w:ascii="Arial" w:hAnsi="Arial"/>
          <w:sz w:val="22"/>
        </w:rPr>
        <w:t>Registro consolidado das principais decisões arquiteturais</w:t>
      </w:r>
    </w:p>
    <w:p>
      <w:pPr>
        <w:spacing w:before="600"/>
        <w:jc w:val="center"/>
      </w:pPr>
      <w:r>
        <w:rPr>
          <w:rFonts w:ascii="Arial" w:hAnsi="Arial"/>
          <w:sz w:val="20"/>
        </w:rPr>
        <w:t>Versão 1.0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Este documento registra as principais decisões arquiteturais do LifeQuest. O objetivo é preservar o contexto de cada escolha, as alternativas consideradas, as consequências conhecidas e as condições que justificariam uma revisão futura.</w:t>
      </w:r>
    </w:p>
    <w:p>
      <w:pPr>
        <w:pStyle w:val="Heading1"/>
      </w:pPr>
      <w:r>
        <w:t>2. Como utilizar os ADRs</w:t>
      </w:r>
    </w:p>
    <w:p>
      <w:r>
        <w:t>Os ADRs devem ser atualizados quando uma decisão arquitetural relevante for tomada, substituída ou descontinuada. Em um projeto desenvolvido por uma única pessoa, o foco é manter registros curtos e úteis, evitando burocracia.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DEDED"/>
          </w:tcPr>
          <w:p>
            <w:r/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4873"/>
            <w:vAlign w:val="center"/>
            <w:shd w:fill="EDEDED"/>
          </w:tcPr>
          <w:p>
            <w:r/>
            <w:r>
              <w:rPr>
                <w:rFonts w:ascii="Arial" w:hAnsi="Arial" w:eastAsia="Arial"/>
                <w:b/>
                <w:sz w:val="18"/>
              </w:rPr>
              <w:t>Significado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Proposed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Decisão em avaliação ou ainda não consolidada.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Accepted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Decisão aprovada e vigente.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Deprecated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Decisão não recomendada para novas implementações.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Superseded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Decisão substituída por outro ADR.</w:t>
            </w:r>
          </w:p>
        </w:tc>
      </w:tr>
    </w:tbl>
    <w:p>
      <w:pPr>
        <w:pStyle w:val="Heading1"/>
      </w:pPr>
      <w:r>
        <w:t>3. Índice de decisões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Arial" w:hAnsi="Arial" w:eastAsia="Arial"/>
                <w:b/>
                <w:sz w:val="17"/>
              </w:rPr>
              <w:t>ADR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Arial" w:hAnsi="Arial" w:eastAsia="Arial"/>
                <w:b/>
                <w:sz w:val="17"/>
              </w:rPr>
              <w:t>Decisão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Arial" w:hAnsi="Arial" w:eastAsia="Arial"/>
                <w:b/>
                <w:sz w:val="17"/>
              </w:rPr>
              <w:t>Status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Utilização do .NET 10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Clean Architecture com DDD pragmático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ADR-003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Modular Monolith como arquitetura inicial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ADR-004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GraphQL como contrato principal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REST apenas para endpoints auxiliares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ADR-006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YARP como API Gateway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ADR-007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MySQL como banco relacional principal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ADR-008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MongoDB para conteúdo documental e IA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ADR-009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RabbitMQ para comunicação assíncrona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ADR-010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Outbox e Inbox Patterns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ADR-011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ASP.NET Core Identity para autenticação e Roles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</w:tbl>
    <w:p>
      <w:r>
        <w:br w:type="page"/>
      </w:r>
    </w:p>
    <w:p>
      <w:pPr>
        <w:pStyle w:val="Heading2"/>
      </w:pPr>
      <w:r>
        <w:t>3.1 Índice de decisões - continuação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Arial" w:hAnsi="Arial" w:eastAsia="Arial"/>
                <w:b/>
                <w:sz w:val="17"/>
              </w:rPr>
              <w:t>ADR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Arial" w:hAnsi="Arial" w:eastAsia="Arial"/>
                <w:b/>
                <w:sz w:val="17"/>
              </w:rPr>
              <w:t>Decisão</w:t>
            </w:r>
          </w:p>
        </w:tc>
        <w:tc>
          <w:tcPr>
            <w:tcW w:type="dxa" w:w="3249"/>
            <w:vAlign w:val="center"/>
            <w:shd w:fill="EDEDED"/>
          </w:tcPr>
          <w:p>
            <w:r/>
            <w:r>
              <w:rPr>
                <w:rFonts w:ascii="Arial" w:hAnsi="Arial" w:eastAsia="Arial"/>
                <w:b/>
                <w:sz w:val="17"/>
              </w:rPr>
              <w:t>Status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ADR-012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Autorização por Role, vínculo e Permission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ADR-013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Strategy Pattern para cálculo de pontuação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ADR-014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Ledger para XP e Roda da Vida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ADR-015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Domain Events e Integration Events separados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ADR-016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IA desacoplada das regras de negócio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ADR-017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Conteúdo de IA gerado uma única vez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ADR-018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Workers para processamento assíncrono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ADR-019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GUID como identificador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ADR-020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xUnit, NSubstitute e Testcontainers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ADR-021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.NET Aspire para ambiente local distribuído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OpenTelemetry para observabilidade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 w:eastAsia="Arial"/>
                <w:b/>
                <w:sz w:val="17"/>
              </w:rPr>
              <w:t>Accepted</w:t>
            </w:r>
          </w:p>
        </w:tc>
      </w:tr>
    </w:tbl>
    <w:p>
      <w:r>
        <w:br w:type="page"/>
      </w:r>
    </w:p>
    <w:p>
      <w:pPr>
        <w:pStyle w:val="Heading1"/>
      </w:pPr>
      <w:r>
        <w:t>4. Architecture Decision Records</w:t>
      </w:r>
    </w:p>
    <w:p>
      <w:pPr>
        <w:pStyle w:val="Heading2"/>
      </w:pPr>
      <w:r>
        <w:t>ADR-001 - Utilização do .NET 10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O LifeQuest necessita de uma plataforma moderna para API, workers, autenticação, processamento assíncrono e futura execução em cloud. A stack principal do projeto é .NET.</w:t>
      </w:r>
    </w:p>
    <w:p>
      <w:pPr>
        <w:pStyle w:val="Heading3"/>
      </w:pPr>
      <w:r>
        <w:t>Decisão</w:t>
      </w:r>
    </w:p>
    <w:p>
      <w:r>
        <w:t>Utilizar .NET 10 como plataforma principal do backend e dos workers do LifeQuest.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Versões anteriores do .NET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Java/Spring Boot como plataforma principal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Alinhamento com a stack principal do projeto.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Acesso ao ecossistema ASP.NET Core, Identity, Workers, observabilidade e cloud.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Projeto também funciona como fonte de estudo da versão atual do .NET.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Dependência do ciclo de vida e atualizações da plataforma.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Bibliotecas de terceiros precisam ser compatíveis com .NET 10.</w:t>
      </w:r>
    </w:p>
    <w:p>
      <w:pPr>
        <w:pStyle w:val="Heading3"/>
      </w:pPr>
      <w:r>
        <w:t>Possibilidade de revisão</w:t>
      </w:r>
    </w:p>
    <w:p>
      <w:r>
        <w:t>Reavaliar apenas em mudança de ciclo de suporte, incompatibilidade relevante ou alteração estratégica da stack.</w:t>
      </w:r>
    </w:p>
    <w:p>
      <w:r>
        <w:br w:type="page"/>
      </w:r>
    </w:p>
    <w:p>
      <w:pPr>
        <w:pStyle w:val="Heading2"/>
      </w:pPr>
      <w:r>
        <w:t>ADR-002 - Clean Architecture com DDD pragmático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O domínio do LifeQuest possui regras relevantes de XP, temporadas, metas, recorrência, Roda da Vida, recompensas e autorização profissional.</w:t>
      </w:r>
    </w:p>
    <w:p>
      <w:pPr>
        <w:pStyle w:val="Heading3"/>
      </w:pPr>
      <w:r>
        <w:t>Decisão</w:t>
      </w:r>
    </w:p>
    <w:p>
      <w:r>
        <w:t>Adotar Clean Architecture com princípios de DDD, utilizando agregados, objetos de valor, eventos e serviços de domínio onde houver regra real de negócio, evitando modelagem excessiva.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Arquitetura em camadas tradicional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DDD completo e mais formal em todo o sistema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Domínio protegido de detalhes de infraestrutura.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Maior testabilidade.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Facilita evolução para serviços separados.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Mais projetos e abstrações do que uma API simples.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Exige disciplina para evitar dependências indevidas.</w:t>
      </w:r>
    </w:p>
    <w:p>
      <w:pPr>
        <w:pStyle w:val="Heading3"/>
      </w:pPr>
      <w:r>
        <w:t>Possibilidade de revisão</w:t>
      </w:r>
    </w:p>
    <w:p>
      <w:r>
        <w:t>Reavaliar se a estrutura gerar mais complexidade que valor ou se os limites de domínio mudarem significativamente.</w:t>
      </w:r>
    </w:p>
    <w:p>
      <w:r>
        <w:br w:type="page"/>
      </w:r>
    </w:p>
    <w:p>
      <w:pPr>
        <w:pStyle w:val="Heading2"/>
      </w:pPr>
      <w:r>
        <w:t>ADR-003 - Modular Monolith como arquitetura inicial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O sistema poderá evoluir para microserviços, filas e múltiplos bancos, mas será desenvolvido inicialmente por uma única pessoa.</w:t>
      </w:r>
    </w:p>
    <w:p>
      <w:pPr>
        <w:pStyle w:val="Heading3"/>
      </w:pPr>
      <w:r>
        <w:t>Decisão</w:t>
      </w:r>
    </w:p>
    <w:p>
      <w:r>
        <w:t>Iniciar como Modular Monolith, separando Bounded Contexts e módulos logicamente. Workers e componentes assíncronos podem executar em processos separados quando necessário.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Microserviços desde o início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Monólito sem separação modular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Menor custo operacional inicial.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Permite estudar e aplicar limites de domínio.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Facilita futura extração de microserviços.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Disciplina arquitetural é necessária para evitar acoplamento entre módulos.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Alguns módulos compartilham inicialmente o mesmo processo de API.</w:t>
      </w:r>
    </w:p>
    <w:p>
      <w:pPr>
        <w:pStyle w:val="Heading3"/>
      </w:pPr>
      <w:r>
        <w:t>Possibilidade de revisão</w:t>
      </w:r>
    </w:p>
    <w:p>
      <w:r>
        <w:t>Extrair microserviços quando houver necessidade clara de escala, isolamento, ciclo de deploy independente ou responsabilidade operacional distinta.</w:t>
      </w:r>
    </w:p>
    <w:p>
      <w:r>
        <w:br w:type="page"/>
      </w:r>
    </w:p>
    <w:p>
      <w:pPr>
        <w:pStyle w:val="Heading2"/>
      </w:pPr>
      <w:r>
        <w:t>ADR-004 - GraphQL como contrato principal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Telas como o dashboard combinam temporada, nível, Roda da Vida, módulos, metas, recompensas e conteúdo de IA. O frontend precisa consultar diferentes partes do domínio de forma composta.</w:t>
      </w:r>
    </w:p>
    <w:p>
      <w:pPr>
        <w:pStyle w:val="Heading3"/>
      </w:pPr>
      <w:r>
        <w:t>Decisão</w:t>
      </w:r>
    </w:p>
    <w:p>
      <w:r>
        <w:t>Utilizar GraphQL com Hot Chocolate como contrato principal entre frontend e backend.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REST como contrato principal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gRPC para comunicação com frontend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Cliente solicita somente os campos necessários.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Boa composição de dados para dashboard.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Schema tipado e evolutivo.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Mutations semânticas para ações de negócio.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Exige controle de custo das queries.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Risco de N+1 sem DataLoader.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Maior curva de aprendizado e governança do schema.</w:t>
      </w:r>
    </w:p>
    <w:p>
      <w:pPr>
        <w:pStyle w:val="Heading3"/>
      </w:pPr>
      <w:r>
        <w:t>Possibilidade de revisão</w:t>
      </w:r>
    </w:p>
    <w:p>
      <w:r>
        <w:t>Reavaliar se o GraphQL aumentar significativamente a complexidade sem benefício ou se consumidores futuros exigirem outro protocolo.</w:t>
      </w:r>
    </w:p>
    <w:p>
      <w:r>
        <w:br w:type="page"/>
      </w:r>
    </w:p>
    <w:p>
      <w:pPr>
        <w:pStyle w:val="Heading2"/>
      </w:pPr>
      <w:r>
        <w:t>ADR-005 - REST apenas para endpoints auxiliares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Nem todas as operações técnicas precisam estar no schema GraphQL. Health checks, autenticação e determinadas integrações podem ser mais adequadas em endpoints HTTP convencionais.</w:t>
      </w:r>
    </w:p>
    <w:p>
      <w:pPr>
        <w:pStyle w:val="Heading3"/>
      </w:pPr>
      <w:r>
        <w:t>Decisão</w:t>
      </w:r>
    </w:p>
    <w:p>
      <w:r>
        <w:t>Manter REST apenas para endpoints auxiliares e operacionais. Esses endpoints utilizarão OpenAPI e poderão manter versionamento em URL.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Tudo em GraphQL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REST como contrato principal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Cada protocolo é utilizado onde agrega mais valor.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Facilita integração com ferramentas operacionais.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Mantém health checks e endpoints técnicos simples.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Existência de dois estilos de contrato na mesma solução.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Necessidade de documentar claramente o que pertence a cada superfície.</w:t>
      </w:r>
    </w:p>
    <w:p>
      <w:pPr>
        <w:pStyle w:val="Heading3"/>
      </w:pPr>
      <w:r>
        <w:t>Possibilidade de revisão</w:t>
      </w:r>
    </w:p>
    <w:p>
      <w:r>
        <w:t>Reavaliar conforme surgirem integrações externas ou novos serviços.</w:t>
      </w:r>
    </w:p>
    <w:p>
      <w:r>
        <w:br w:type="page"/>
      </w:r>
    </w:p>
    <w:p>
      <w:pPr>
        <w:pStyle w:val="Heading2"/>
      </w:pPr>
      <w:r>
        <w:t>ADR-006 - YARP como API Gateway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A arquitetura prevê futura separação em serviços. Mesmo no ambiente local é desejável ter um ponto de entrada único que possa evoluir junto com a solução.</w:t>
      </w:r>
    </w:p>
    <w:p>
      <w:pPr>
        <w:pStyle w:val="Heading3"/>
      </w:pPr>
      <w:r>
        <w:t>Decisão</w:t>
      </w:r>
    </w:p>
    <w:p>
      <w:r>
        <w:t>Utilizar YARP em um projeto LifeQuest.Gateway. Inicialmente ele poderá rodar localmente e encaminhar tráfego para a API. Futuramente poderá rotear múltiplos serviços.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Sem gateway inicialmente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Gateway gerenciado desde o início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NGINX como gateway principal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Tecnologia .NET alinhada ao restante da solução.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Evolução gradual para múltiplos serviços.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Configuração local simples.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Mais um processo no ambiente local.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Gateway adiciona uma camada adicional de configuração e diagnóstico.</w:t>
      </w:r>
    </w:p>
    <w:p>
      <w:pPr>
        <w:pStyle w:val="Heading3"/>
      </w:pPr>
      <w:r>
        <w:t>Possibilidade de revisão</w:t>
      </w:r>
    </w:p>
    <w:p>
      <w:r>
        <w:t>Reavaliar ao escolher infraestrutura definitiva de produção ou caso um gateway gerenciado ofereça benefícios superiores.</w:t>
      </w:r>
    </w:p>
    <w:p>
      <w:r>
        <w:br w:type="page"/>
      </w:r>
    </w:p>
    <w:p>
      <w:pPr>
        <w:pStyle w:val="Heading2"/>
      </w:pPr>
      <w:r>
        <w:t>ADR-007 - MySQL como banco relacional principal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O domínio transacional exige integridade relacional, histórico de XP, temporadas, metas, módulos, vínculos e Roda da Vida. O custo de cloud deve permanecer baixo.</w:t>
      </w:r>
    </w:p>
    <w:p>
      <w:pPr>
        <w:pStyle w:val="Heading3"/>
      </w:pPr>
      <w:r>
        <w:t>Decisão</w:t>
      </w:r>
    </w:p>
    <w:p>
      <w:r>
        <w:t>Utilizar MySQL como banco relacional principal do LifeQuest.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MariaDB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PostgreSQL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SQL Server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Ecossistema amplo.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Opções de hospedagem gerenciada e de baixo custo.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Adequado ao modelo relacional do domínio.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Dependência do provider de EF Core escolhido.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Alguns recursos avançados variam em relação a outros bancos.</w:t>
      </w:r>
    </w:p>
    <w:p>
      <w:pPr>
        <w:pStyle w:val="Heading3"/>
      </w:pPr>
      <w:r>
        <w:t>Possibilidade de revisão</w:t>
      </w:r>
    </w:p>
    <w:p>
      <w:r>
        <w:t>Reavaliar antes da primeira implantação produtiva caso custo, provider, recursos ou infraestrutura favoreçam outra opção.</w:t>
      </w:r>
    </w:p>
    <w:p>
      <w:r>
        <w:br w:type="page"/>
      </w:r>
    </w:p>
    <w:p>
      <w:pPr>
        <w:pStyle w:val="Heading2"/>
      </w:pPr>
      <w:r>
        <w:t>ADR-008 - MongoDB para conteúdo documental e IA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Conteúdos gerados por IA, contexto resumido, metadados de geração e documentos podem evoluir de forma menos rígida que o núcleo transacional.</w:t>
      </w:r>
    </w:p>
    <w:p>
      <w:pPr>
        <w:pStyle w:val="Heading3"/>
      </w:pPr>
      <w:r>
        <w:t>Decisão</w:t>
      </w:r>
    </w:p>
    <w:p>
      <w:r>
        <w:t>Utilizar MongoDB como banco NoSQL de referência para conteúdo gerado por IA e documentos adequados a armazenamento documental.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Persistir tudo no MySQL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Azure Cosmos DB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Outro banco documental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Schema flexível para conteúdo de IA.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Separação entre dados transacionais e documentos.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Facilita evolução do formato das respostas.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Segundo banco aumenta infraestrutura, testes e observabilidade.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Consistência entre SQL e NoSQL precisa ser eventual quando houver integração.</w:t>
      </w:r>
    </w:p>
    <w:p>
      <w:pPr>
        <w:pStyle w:val="Heading3"/>
      </w:pPr>
      <w:r>
        <w:t>Possibilidade de revisão</w:t>
      </w:r>
    </w:p>
    <w:p>
      <w:r>
        <w:t>Reavaliar no MVP se o custo operacional de dois bancos superar o benefício. Cosmos DB pode substituir MongoDB em uma decisão futura de cloud.</w:t>
      </w:r>
    </w:p>
    <w:p>
      <w:r>
        <w:br w:type="page"/>
      </w:r>
    </w:p>
    <w:p>
      <w:pPr>
        <w:pStyle w:val="Heading2"/>
      </w:pPr>
      <w:r>
        <w:t>ADR-009 - RabbitMQ para comunicação assíncrona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IA, notificações, jobs e futura divisão em microserviços não devem bloquear operações principais do usuário.</w:t>
      </w:r>
    </w:p>
    <w:p>
      <w:pPr>
        <w:pStyle w:val="Heading3"/>
      </w:pPr>
      <w:r>
        <w:t>Decisão</w:t>
      </w:r>
    </w:p>
    <w:p>
      <w:r>
        <w:t>Utilizar RabbitMQ como broker de mensagens para Integration Events e processamento assíncrono.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Processamento síncrono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Azure Service Bus desde o início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Kafka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Desacoplamento.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Retries e filas independentes.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Tecnologia adequada para estudo e futura distribuição.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Infraestrutura adicional.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Necessidade de idempotência, observabilidade e tratamento de mensagens falhas.</w:t>
      </w:r>
    </w:p>
    <w:p>
      <w:pPr>
        <w:pStyle w:val="Heading3"/>
      </w:pPr>
      <w:r>
        <w:t>Possibilidade de revisão</w:t>
      </w:r>
    </w:p>
    <w:p>
      <w:r>
        <w:t>Reavaliar ao definir cloud de produção ou quando requisitos de throughput/ordering exigirem outra tecnologia.</w:t>
      </w:r>
    </w:p>
    <w:p>
      <w:r>
        <w:br w:type="page"/>
      </w:r>
    </w:p>
    <w:p>
      <w:pPr>
        <w:pStyle w:val="Heading2"/>
      </w:pPr>
      <w:r>
        <w:t>ADR-010 - Outbox e Inbox Patterns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Publicar eventos e persistir dados em operações separadas pode gerar inconsistências quando uma das etapas falha.</w:t>
      </w:r>
    </w:p>
    <w:p>
      <w:pPr>
        <w:pStyle w:val="Heading3"/>
      </w:pPr>
      <w:r>
        <w:t>Decisão</w:t>
      </w:r>
    </w:p>
    <w:p>
      <w:r>
        <w:t>Aplicar Transactional Outbox para publicação confiável de Integration Events e Inbox/idempotência no consumo quando necessário.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Publicação direta após commit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Transação distribuída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Reduz perda de eventos.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Evita dependência de transações distribuídas.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Melhora confiabilidade em retries.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Exige tabelas/armazenamento adicional e worker de publicação.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Eventos precisam ser idempotentes.</w:t>
      </w:r>
    </w:p>
    <w:p>
      <w:pPr>
        <w:pStyle w:val="Heading3"/>
      </w:pPr>
      <w:r>
        <w:t>Possibilidade de revisão</w:t>
      </w:r>
    </w:p>
    <w:p>
      <w:r>
        <w:t>Reavaliar apenas se a infraestrutura futura oferecer garantias equivalentes de maneira mais simples.</w:t>
      </w:r>
    </w:p>
    <w:p>
      <w:r>
        <w:br w:type="page"/>
      </w:r>
    </w:p>
    <w:p>
      <w:pPr>
        <w:pStyle w:val="Heading2"/>
      </w:pPr>
      <w:r>
        <w:t>ADR-011 - ASP.NET Core Identity para autenticação e Roles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A primeira versão já terá login e senha, além dos perfis Admin, Psychologist, Coach e User.</w:t>
      </w:r>
    </w:p>
    <w:p>
      <w:pPr>
        <w:pStyle w:val="Heading3"/>
      </w:pPr>
      <w:r>
        <w:t>Decisão</w:t>
      </w:r>
    </w:p>
    <w:p>
      <w:r>
        <w:t>Utilizar ASP.NET Core Identity ou integração compatível do ecossistema .NET para autenticação, credenciais, roles, claims e fluxos de identidade.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Implementar autenticação própria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Serviço externo de identidade desde o MVP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Evita reinventar segurança de credenciais.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Integração com ASP.NET Core.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Roles e policies suportadas pelo framework.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Acoplamento da infraestrutura ao modelo de Identity.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Pode exigir adaptação futura se um IdP externo for adotado.</w:t>
      </w:r>
    </w:p>
    <w:p>
      <w:pPr>
        <w:pStyle w:val="Heading3"/>
      </w:pPr>
      <w:r>
        <w:t>Possibilidade de revisão</w:t>
      </w:r>
    </w:p>
    <w:p>
      <w:r>
        <w:t>Reavaliar quando houver SSO, OAuth social, B2C ou necessidade de IdP externo.</w:t>
      </w:r>
    </w:p>
    <w:p>
      <w:r>
        <w:br w:type="page"/>
      </w:r>
    </w:p>
    <w:p>
      <w:pPr>
        <w:pStyle w:val="Heading2"/>
      </w:pPr>
      <w:r>
        <w:t>ADR-012 - Autorização por Role, vínculo e Permission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Psicólogo e Coach não podem obter acesso irrestrito aos dados apenas por possuírem determinada Role.</w:t>
      </w:r>
    </w:p>
    <w:p>
      <w:pPr>
        <w:pStyle w:val="Heading3"/>
      </w:pPr>
      <w:r>
        <w:t>Decisão</w:t>
      </w:r>
    </w:p>
    <w:p>
      <w:r>
        <w:t>Autorizar operações combinando Role, ProfessionalLink ativo, permissões explícitas e ownership do recurso.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Somente Role-Based Authorization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ACL global sem vínculo profissional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Princípio do menor privilégio.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Protege dados pessoais e sensíveis.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Permite revogação do vínculo.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Autorização fica mais complexa.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Exige testes de segurança em múltiplas camadas.</w:t>
      </w:r>
    </w:p>
    <w:p>
      <w:pPr>
        <w:pStyle w:val="Heading3"/>
      </w:pPr>
      <w:r>
        <w:t>Possibilidade de revisão</w:t>
      </w:r>
    </w:p>
    <w:p>
      <w:r>
        <w:t>Reavaliar ao introduzir novos tipos profissionais ou novos modelos de compartilhamento.</w:t>
      </w:r>
    </w:p>
    <w:p>
      <w:r>
        <w:br w:type="page"/>
      </w:r>
    </w:p>
    <w:p>
      <w:pPr>
        <w:pStyle w:val="Heading2"/>
      </w:pPr>
      <w:r>
        <w:t>ADR-013 - Strategy Pattern para cálculo de pontuação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Livros, tempo de estudo, certificações, atividade física e constância utilizam fórmulas diferentes.</w:t>
      </w:r>
    </w:p>
    <w:p>
      <w:pPr>
        <w:pStyle w:val="Heading3"/>
      </w:pPr>
      <w:r>
        <w:t>Decisão</w:t>
      </w:r>
    </w:p>
    <w:p>
      <w:r>
        <w:t>Aplicar Strategy Pattern para encapsular os cálculos por natureza/tipo de meta.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If/else centralizado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Uma fórmula genérica para todas as metas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Extensibilidade.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Testes isolados por estratégia.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Evita classe de cálculo monolítica.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Mais classes e interfaces.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Necessidade de seleção correta da estratégia.</w:t>
      </w:r>
    </w:p>
    <w:p>
      <w:pPr>
        <w:pStyle w:val="Heading3"/>
      </w:pPr>
      <w:r>
        <w:t>Possibilidade de revisão</w:t>
      </w:r>
    </w:p>
    <w:p>
      <w:r>
        <w:t>Reavaliar se os cálculos convergirem para um modelo único ou se uma rule engine se tornar necessária.</w:t>
      </w:r>
    </w:p>
    <w:p>
      <w:r>
        <w:br w:type="page"/>
      </w:r>
    </w:p>
    <w:p>
      <w:pPr>
        <w:pStyle w:val="Heading2"/>
      </w:pPr>
      <w:r>
        <w:t>ADR-014 - Ledger para XP e Roda da Vida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Somente armazenar os valores atuais de XP e pontuação impediria explicar como cada resultado foi alcançado.</w:t>
      </w:r>
    </w:p>
    <w:p>
      <w:pPr>
        <w:pStyle w:val="Heading3"/>
      </w:pPr>
      <w:r>
        <w:t>Decisão</w:t>
      </w:r>
    </w:p>
    <w:p>
      <w:r>
        <w:t>Manter XpTransaction e LifeAreaTransaction como históricos auditáveis, além dos valores atuais materializados para leitura rápida.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Guardar apenas valores acumulados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Event Sourcing completo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Auditoria e rastreabilidade.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Facilita relatórios e correções.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Explica ganhos, perdas e descartes de pontos.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Maior volume de dados.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Necessidade de consistência entre saldo materializado e ledger.</w:t>
      </w:r>
    </w:p>
    <w:p>
      <w:pPr>
        <w:pStyle w:val="Heading3"/>
      </w:pPr>
      <w:r>
        <w:t>Possibilidade de revisão</w:t>
      </w:r>
    </w:p>
    <w:p>
      <w:r>
        <w:t>Reavaliar se o sistema evoluir para Event Sourcing ou se o volume exigir estratégia de agregação.</w:t>
      </w:r>
    </w:p>
    <w:p>
      <w:r>
        <w:br w:type="page"/>
      </w:r>
    </w:p>
    <w:p>
      <w:pPr>
        <w:pStyle w:val="Heading2"/>
      </w:pPr>
      <w:r>
        <w:t>ADR-015 - Domain Events e Integration Events separados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Nem todo evento relevante ao domínio precisa atravessar processos ou broker de mensagens.</w:t>
      </w:r>
    </w:p>
    <w:p>
      <w:pPr>
        <w:pStyle w:val="Heading3"/>
      </w:pPr>
      <w:r>
        <w:t>Decisão</w:t>
      </w:r>
    </w:p>
    <w:p>
      <w:r>
        <w:t>Utilizar Domain Events para reações internas do domínio/aplicação e Integration Events para comunicação assíncrona entre módulos/processos/serviços.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Um único tipo de evento para tudo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Chamadas diretas entre todos os módulos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Limites claros.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Menor acoplamento.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Permite evolução de módulos para microserviços.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Exige mapeamento entre eventos internos e externos.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Mais conceitos para manter.</w:t>
      </w:r>
    </w:p>
    <w:p>
      <w:pPr>
        <w:pStyle w:val="Heading3"/>
      </w:pPr>
      <w:r>
        <w:t>Possibilidade de revisão</w:t>
      </w:r>
    </w:p>
    <w:p>
      <w:r>
        <w:t>Reavaliar conforme os Bounded Contexts forem extraídos para serviços independentes.</w:t>
      </w:r>
    </w:p>
    <w:p>
      <w:r>
        <w:br w:type="page"/>
      </w:r>
    </w:p>
    <w:p>
      <w:pPr>
        <w:pStyle w:val="Heading2"/>
      </w:pPr>
      <w:r>
        <w:t>ADR-016 - IA desacoplada das regras de negócio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A IA será usada para títulos, mensagens, feedbacks e retrospectivas, porém o sistema deve permanecer determinístico para XP, níveis e progressão.</w:t>
      </w:r>
    </w:p>
    <w:p>
      <w:pPr>
        <w:pStyle w:val="Heading3"/>
      </w:pPr>
      <w:r>
        <w:t>Decisão</w:t>
      </w:r>
    </w:p>
    <w:p>
      <w:r>
        <w:t>A IA somente gera conteúdo textual. Decisões de domínio permanecem no backend determinístico.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IA participando de decisões de XP/pontuação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Sem IA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Regras reproduzíveis e testáveis.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Falha do provedor não impede operações de negócio.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Reduz risco de resultados inconsistentes.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Algumas experiências precisam de regras e templates de fallback.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Exige preparação de contexto antes da chamada.</w:t>
      </w:r>
    </w:p>
    <w:p>
      <w:pPr>
        <w:pStyle w:val="Heading3"/>
      </w:pPr>
      <w:r>
        <w:t>Possibilidade de revisão</w:t>
      </w:r>
    </w:p>
    <w:p>
      <w:r>
        <w:t>Não revisar sem requisitos fortes que justifiquem IA decisória e controles adicionais.</w:t>
      </w:r>
    </w:p>
    <w:p>
      <w:r>
        <w:br w:type="page"/>
      </w:r>
    </w:p>
    <w:p>
      <w:pPr>
        <w:pStyle w:val="Heading2"/>
      </w:pPr>
      <w:r>
        <w:t>ADR-017 - Conteúdo de IA gerado uma única vez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Chamadas repetidas aumentariam custo, poderiam alterar retrospectivamente títulos e produziriam resultados diferentes para o mesmo evento.</w:t>
      </w:r>
    </w:p>
    <w:p>
      <w:pPr>
        <w:pStyle w:val="Heading3"/>
      </w:pPr>
      <w:r>
        <w:t>Decisão</w:t>
      </w:r>
    </w:p>
    <w:p>
      <w:r>
        <w:t>Cada evento gera no máximo um conteúdo bem-sucedido persistido. Falhas podem ser retentadas; após sucesso, não há regeneração.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Permitir regeneração ilimitada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Gerar conteúdo em toda consulta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Previsibilidade.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Controle de custos.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Histórico estável.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Usuário não poderá pedir outra versão do mesmo texto.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Exige estados Pending/Failed/Generated.</w:t>
      </w:r>
    </w:p>
    <w:p>
      <w:pPr>
        <w:pStyle w:val="Heading3"/>
      </w:pPr>
      <w:r>
        <w:t>Possibilidade de revisão</w:t>
      </w:r>
    </w:p>
    <w:p>
      <w:r>
        <w:t>Reavaliar somente se surgir requisito explícito de versões, moderação ou edição assistida.</w:t>
      </w:r>
    </w:p>
    <w:p>
      <w:r>
        <w:br w:type="page"/>
      </w:r>
    </w:p>
    <w:p>
      <w:pPr>
        <w:pStyle w:val="Heading2"/>
      </w:pPr>
      <w:r>
        <w:t>ADR-018 - Workers para processamento assíncrono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Inatividade semanal, processamento de filas, Outbox, IA e transição de temporada não devem depender de requisições interativas.</w:t>
      </w:r>
    </w:p>
    <w:p>
      <w:pPr>
        <w:pStyle w:val="Heading3"/>
      </w:pPr>
      <w:r>
        <w:t>Decisão</w:t>
      </w:r>
    </w:p>
    <w:p>
      <w:r>
        <w:t>Utilizar .NET Worker Services/background processing para atividades assíncronas e agendadas.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Executar tudo na API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Jobs externos desde o início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Isola tarefas de background.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Facilita escala e observabilidade.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Evita bloquear requisições.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Mais processos para executar e monitorar.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Coordenação e idempotência são necessárias.</w:t>
      </w:r>
    </w:p>
    <w:p>
      <w:pPr>
        <w:pStyle w:val="Heading3"/>
      </w:pPr>
      <w:r>
        <w:t>Possibilidade de revisão</w:t>
      </w:r>
    </w:p>
    <w:p>
      <w:r>
        <w:t>Reavaliar conforme a plataforma de cloud oferecer scheduler/serverless mais adequado.</w:t>
      </w:r>
    </w:p>
    <w:p>
      <w:r>
        <w:br w:type="page"/>
      </w:r>
    </w:p>
    <w:p>
      <w:pPr>
        <w:pStyle w:val="Heading2"/>
      </w:pPr>
      <w:r>
        <w:t>ADR-019 - GUID como identificador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O domínio pode futuramente ser distribuído entre serviços e bancos diferentes.</w:t>
      </w:r>
    </w:p>
    <w:p>
      <w:pPr>
        <w:pStyle w:val="Heading3"/>
      </w:pPr>
      <w:r>
        <w:t>Decisão</w:t>
      </w:r>
    </w:p>
    <w:p>
      <w:r>
        <w:t>Utilizar GUID/UUID como identificador das entidades do LifeQuest.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long auto-incremental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Identificadores naturais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Geração independente do banco.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Adequado para distribuição futura.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Evita exposição de sequências simples.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Índices maiores que long.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Necessidade de atenção à ordenação e performance.</w:t>
      </w:r>
    </w:p>
    <w:p>
      <w:pPr>
        <w:pStyle w:val="Heading3"/>
      </w:pPr>
      <w:r>
        <w:t>Possibilidade de revisão</w:t>
      </w:r>
    </w:p>
    <w:p>
      <w:r>
        <w:t>Avaliar UUID v7 ou estratégia equivalente conforme suporte e necessidades de índice.</w:t>
      </w:r>
    </w:p>
    <w:p>
      <w:r>
        <w:br w:type="page"/>
      </w:r>
    </w:p>
    <w:p>
      <w:pPr>
        <w:pStyle w:val="Heading2"/>
      </w:pPr>
      <w:r>
        <w:t>ADR-020 - xUnit, NSubstitute e Testcontainers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O LifeQuest possui domínio rico e integrações com SQL, MongoDB, RabbitMQ e GraphQL que precisam ser testadas sem depender de ambientes externos.</w:t>
      </w:r>
    </w:p>
    <w:p>
      <w:pPr>
        <w:pStyle w:val="Heading3"/>
      </w:pPr>
      <w:r>
        <w:t>Decisão</w:t>
      </w:r>
    </w:p>
    <w:p>
      <w:r>
        <w:t>Utilizar xUnit para testes, NSubstitute para mocking e Testcontainers para dependências reais em testes de integração.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Moq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Framework BDD adicional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Bancos em memória como principal estratégia de integração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Testes próximos ao comportamento real.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NSubstitute adiciona aprendizado à stack.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Boa separação entre testes unitários e integração.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Testcontainers aumenta tempo e dependência de Docker.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Nova biblioteca de mocking precisa ser aprendida.</w:t>
      </w:r>
    </w:p>
    <w:p>
      <w:pPr>
        <w:pStyle w:val="Heading3"/>
      </w:pPr>
      <w:r>
        <w:t>Possibilidade de revisão</w:t>
      </w:r>
    </w:p>
    <w:p>
      <w:r>
        <w:t>Reavaliar se custos de execução do pipeline se tornarem relevantes.</w:t>
      </w:r>
    </w:p>
    <w:p>
      <w:r>
        <w:br w:type="page"/>
      </w:r>
    </w:p>
    <w:p>
      <w:pPr>
        <w:pStyle w:val="Heading2"/>
      </w:pPr>
      <w:r>
        <w:t>ADR-021 - .NET Aspire para ambiente local distribuído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O ambiente pode conter API, Gateway, Workers, MySQL, MongoDB e RabbitMQ, tornando a execução manual mais trabalhosa.</w:t>
      </w:r>
    </w:p>
    <w:p>
      <w:pPr>
        <w:pStyle w:val="Heading3"/>
      </w:pPr>
      <w:r>
        <w:t>Decisão</w:t>
      </w:r>
    </w:p>
    <w:p>
      <w:r>
        <w:t>Utilizar .NET Aspire como opção de orquestração do ambiente de desenvolvimento e observabilidade local.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Docker Compose isoladamente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Execução manual de cada processo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Experiência local integrada.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Facilita configuração e descoberta de dependências.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Boa base para observabilidade durante desenvolvimento.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Mais uma tecnologia na solução.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Não substitui automaticamente a estratégia de produção.</w:t>
      </w:r>
    </w:p>
    <w:p>
      <w:pPr>
        <w:pStyle w:val="Heading3"/>
      </w:pPr>
      <w:r>
        <w:t>Possibilidade de revisão</w:t>
      </w:r>
    </w:p>
    <w:p>
      <w:r>
        <w:t>Reavaliar se Docker Compose for suficiente ou se a plataforma de implantação definir outra abordagem.</w:t>
      </w:r>
    </w:p>
    <w:p>
      <w:r>
        <w:br w:type="page"/>
      </w:r>
    </w:p>
    <w:p>
      <w:pPr>
        <w:pStyle w:val="Heading2"/>
      </w:pPr>
      <w:r>
        <w:t>ADR-022 - OpenTelemetry para observabilidade</w:t>
      </w:r>
    </w:p>
    <w:p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Accepted</w:t>
      </w:r>
    </w:p>
    <w:p>
      <w:pPr>
        <w:pStyle w:val="Heading3"/>
      </w:pPr>
      <w:r>
        <w:t>Contexto</w:t>
      </w:r>
    </w:p>
    <w:p>
      <w:r>
        <w:t>Com Gateway, GraphQL, Workers, filas e múltiplos bancos, será necessário correlacionar requisições e processamentos assíncronos.</w:t>
      </w:r>
    </w:p>
    <w:p>
      <w:pPr>
        <w:pStyle w:val="Heading3"/>
      </w:pPr>
      <w:r>
        <w:t>Decisão</w:t>
      </w:r>
    </w:p>
    <w:p>
      <w:r>
        <w:t>Adotar OpenTelemetry para traces, métricas e integração de observabilidade, complementado por logging estruturado.</w:t>
      </w:r>
    </w:p>
    <w:p>
      <w:pPr>
        <w:pStyle w:val="Heading3"/>
      </w:pPr>
      <w:r>
        <w:t>Alternativas consideradas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Logs isolados sem correlação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SDK proprietário de observabilidade desde o início</w:t>
      </w:r>
    </w:p>
    <w:p>
      <w:pPr>
        <w:pStyle w:val="Heading3"/>
      </w:pPr>
      <w:r>
        <w:t>Consequências positivas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Padrão aberto.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Correlação entre componentes.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Flexibilidade para escolher backend de observabilidade.</w:t>
      </w:r>
    </w:p>
    <w:p>
      <w:pPr>
        <w:pStyle w:val="Heading3"/>
      </w:pPr>
      <w:r>
        <w:t>Consequências negativas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Instrumentação e configuração adicionais.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Volume de telemetria precisa ser controlado.</w:t>
      </w:r>
    </w:p>
    <w:p>
      <w:pPr>
        <w:pStyle w:val="Heading3"/>
      </w:pPr>
      <w:r>
        <w:t>Possibilidade de revisão</w:t>
      </w:r>
    </w:p>
    <w:p>
      <w:r>
        <w:t>Reavaliar o backend de observabilidade na escolha de cloud, mantendo OpenTelemetry como padrão de instrumentação quando possível.</w:t>
      </w:r>
    </w:p>
    <w:p>
      <w:r>
        <w:br w:type="page"/>
      </w:r>
    </w:p>
    <w:p>
      <w:pPr>
        <w:pStyle w:val="Heading1"/>
      </w:pPr>
      <w:r>
        <w:t>5. Governança dos ADRs</w:t>
      </w:r>
    </w:p>
    <w:p>
      <w:r>
        <w:t>Ao iniciar o repositório, cada ADR poderá ser mantido também em arquivo Markdown individual na pasta /docs/adr. Este documento Word funciona como visão consolidada das decisões.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Uma decisão nova relevante deve receber um novo número de ADR.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Um ADR aceito não deve ser reescrito para esconder uma decisão antiga.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Quando uma decisão for substituída, o ADR anterior deve ser marcado como Superseded e apontar para o novo ADR.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Mudanças pequenas de implementação que não alteram a arquitetura não precisam gerar ADR.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ADRs devem permanecer curtos e registrar principalmente o motivo da decisão, não apenas a tecnologia escolhida.</w:t>
      </w:r>
    </w:p>
    <w:p>
      <w:pPr>
        <w:pStyle w:val="Heading1"/>
      </w:pPr>
      <w:r>
        <w:t>6. Decisões futuras ainda não registradas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Provedor definitivo de IA e modelo(s) utilizado(s).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Cloud de produção e estratégia de hospedagem.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Backend definitivo de observabilidade.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Estratégia de CI/CD e plataforma de repositório.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Estratégia de cache distribuído, caso se torne necessária.</w:t>
      </w:r>
    </w:p>
    <w:p>
      <w:pPr>
        <w:pStyle w:val="ListBullet"/>
        <w:spacing w:after="20"/>
      </w:pPr>
      <w:r>
        <w:rPr>
          <w:rFonts w:ascii="Arial" w:hAnsi="Arial" w:eastAsia="Arial"/>
          <w:sz w:val="21"/>
        </w:rPr>
        <w:t>Escolha entre MongoDB gerenciado e alternativa compatível em cloud.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LifeQuest - Documento 08 - ADRs | 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