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GraphQL vs REST</w:t>
      </w:r>
    </w:p>
    <w:p>
      <w:pPr>
        <w:spacing w:after="40"/>
        <w:jc w:val="center"/>
      </w:pPr>
      <w:r>
        <w:rPr>
          <w:color w:val="2E5C8A"/>
          <w:sz w:val="28"/>
          <w:szCs w:val="28"/>
        </w:rPr>
        <w:t xml:space="preserve">Um Experimento Controlado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Laboratório de Experimentação de Software — PUC Minas</w:t>
      </w:r>
    </w:p>
    <w:p>
      <w:pPr>
        <w:pStyle w:val="Heading1"/>
      </w:pPr>
      <w:r>
        <w:t xml:space="preserve">1. Introdução</w:t>
      </w:r>
    </w:p>
    <w:p>
      <w:pPr>
        <w:spacing w:after="160"/>
      </w:pPr>
      <w:r>
        <w:t xml:space="preserve">GraphQL é uma linguagem de consulta para APIs Web, proposta pelo Facebook, baseada em grafos e schemas definidos pelo servidor, permitindo que o cliente especifique exatamente quais campos deseja obter em uma única requisição. Em contraste, APIs REST organizam-se em torno de endpoints fixos, frequentemente retornando estruturas de dados predefinidas que podem conter mais informação do que o cliente necessita (overfetching) ou exigir múltiplas chamadas para compor a informação desejada (underfetching).</w:t>
      </w:r>
    </w:p>
    <w:p>
      <w:pPr>
        <w:spacing w:after="160"/>
      </w:pPr>
      <w:r>
        <w:t xml:space="preserve">Este relatório descreve um experimento controlado, com desenho pareado (within-subject), comparando o desempenho de consultas equivalentes realizadas via API REST e API GraphQL do GitHub, com o objetivo de responder quantitativamente às seguintes perguntas de pesquisa: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RQ1: </w:t>
      </w:r>
      <w:r>
        <w:t xml:space="preserve">Respostas às consultas GraphQL são mais rápidas que respostas às consultas REST?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RQ2: </w:t>
      </w:r>
      <w:r>
        <w:t xml:space="preserve">Respostas às consultas GraphQL têm tamanho menor que respostas às consultas REST?</w:t>
      </w:r>
    </w:p>
    <w:p>
      <w:pPr>
        <w:pStyle w:val="Heading2"/>
      </w:pPr>
      <w:r>
        <w:t xml:space="preserve">1.1 Hipóteses</w:t>
      </w:r>
    </w:p>
    <w:p>
      <w:pPr>
        <w:spacing w:after="60"/>
      </w:pPr>
      <w:r>
        <w:rPr>
          <w:b/>
          <w:bCs/>
        </w:rPr>
        <w:t xml:space="preserve">Para RQ1 (tempo de resposta):</w:t>
      </w:r>
    </w:p>
    <w:p>
      <w:pPr>
        <w:pStyle w:val="ListParagraph"/>
        <w:numPr>
          <w:ilvl w:val="0"/>
          <w:numId w:val="3"/>
        </w:numPr>
      </w:pPr>
      <w:r>
        <w:t xml:space="preserve">H0₁: não há diferença significativa no tempo de resposta entre GraphQL e REST.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H1₁: existe diferença significativa no tempo de resposta entre GraphQL e REST.</w:t>
      </w:r>
    </w:p>
    <w:p>
      <w:pPr>
        <w:spacing w:after="60"/>
      </w:pPr>
      <w:r>
        <w:rPr>
          <w:b/>
          <w:bCs/>
        </w:rPr>
        <w:t xml:space="preserve">Para RQ2 (tamanho de resposta):</w:t>
      </w:r>
    </w:p>
    <w:p>
      <w:pPr>
        <w:pStyle w:val="ListParagraph"/>
        <w:numPr>
          <w:ilvl w:val="0"/>
          <w:numId w:val="3"/>
        </w:numPr>
      </w:pPr>
      <w:r>
        <w:t xml:space="preserve">H0₂: não há diferença significativa no tamanho de resposta entre GraphQL e REST.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H1₂: existe diferença significativa no tamanho de resposta entre GraphQL e REST.</w:t>
      </w:r>
    </w:p>
    <w:p>
      <w:pPr>
        <w:pStyle w:val="Heading1"/>
      </w:pPr>
      <w:r>
        <w:t xml:space="preserve">2. Metodologia</w:t>
      </w:r>
    </w:p>
    <w:p>
      <w:pPr>
        <w:pStyle w:val="Heading2"/>
      </w:pPr>
      <w:r>
        <w:t xml:space="preserve">2.1 Variáveis</w:t>
      </w:r>
    </w:p>
    <w:p>
      <w:r>
        <w:rPr>
          <w:b/>
          <w:bCs/>
        </w:rPr>
        <w:t xml:space="preserve">Variável independente: </w:t>
      </w:r>
      <w:r>
        <w:t xml:space="preserve">tipo de API utilizada (REST ou GraphQL), categórica com 2 níveis.</w:t>
      </w:r>
    </w:p>
    <w:p>
      <w:pPr>
        <w:spacing w:after="160"/>
      </w:pPr>
      <w:r>
        <w:rPr>
          <w:b/>
          <w:bCs/>
        </w:rPr>
        <w:t xml:space="preserve">Variáveis dependentes: </w:t>
      </w:r>
      <w:r>
        <w:t xml:space="preserve">(i) tempo de resposta, em milissegundos; (ii) tamanho da resposta, em bytes.</w:t>
      </w:r>
    </w:p>
    <w:p>
      <w:pPr>
        <w:pStyle w:val="Heading2"/>
      </w:pPr>
      <w:r>
        <w:t xml:space="preserve">2.2 Tratamentos e Objetos Experimentais</w:t>
      </w:r>
    </w:p>
    <w:p>
      <w:pPr>
        <w:spacing w:after="160"/>
      </w:pPr>
      <w:r>
        <w:t xml:space="preserve">Foram definidos dois tratamentos: (T1) consulta via API REST do GitHub e (T2) consulta equivalente via API GraphQL do GitHub. Os objetos experimentais consistem em 10 repositórios públicos (mesmo conjunto utilizado nos dois tratamentos), consultados para os mesmos dados: nome, descrição, número de estrelas, número de forks, linguagem principal e as 5 issues abertas mais recentes.</w:t>
      </w:r>
    </w:p>
    <w:p>
      <w:pPr>
        <w:pStyle w:val="Heading2"/>
      </w:pPr>
      <w:r>
        <w:t xml:space="preserve">2.3 Tipo de Projeto Experimental</w:t>
      </w:r>
    </w:p>
    <w:p>
      <w:pPr>
        <w:spacing w:after="160"/>
      </w:pPr>
      <w:r>
        <w:t xml:space="preserve">Foi adotado um desenho pareado (within-subject / paired design): cada repositório foi consultado por ambos os tratamentos, controlando a variação entre objetos experimentais e aumentando o poder estatístico do teste de hipótese, já que cada par de observações compartilha o mesmo objeto.</w:t>
      </w:r>
    </w:p>
    <w:p>
      <w:pPr>
        <w:pStyle w:val="Heading2"/>
      </w:pPr>
      <w:r>
        <w:t xml:space="preserve">2.4 Quantidade de Medições</w:t>
      </w:r>
    </w:p>
    <w:p>
      <w:pPr>
        <w:spacing w:after="160"/>
      </w:pPr>
      <w:r>
        <w:t xml:space="preserve">Foram coletadas 600 medições brutas, das quais 276 (tratamento REST) e 295 (tratamento GraphQL) permaneceram após validação e remoção de outliers via IQR. A ordem de execução dos tratamentos e dos repositórios foi aleatorizada a cada repetição, de modo a mitigar efeitos de hora do dia, cache e variação de rede.</w:t>
      </w:r>
    </w:p>
    <w:p>
      <w:pPr>
        <w:pStyle w:val="Heading2"/>
      </w:pPr>
      <w:r>
        <w:t xml:space="preserve">2.5 Ambiente e Reprodutibilidade</w:t>
      </w:r>
    </w:p>
    <w:p>
      <w:pPr>
        <w:spacing w:after="80"/>
      </w:pPr>
      <w:r>
        <w:t xml:space="preserve">O experimento foi implementado em Python 3.12, utilizando a biblioteca requests para realizar as chamadas HTTP. As medições de tempo foram feitas com time.perf_counter(), capturando o intervalo entre o início da requisição e o recebimento completo da resposta. O tamanho da resposta foi obtido a partir do corpo (body) retornado pela API, em bytes.</w:t>
      </w:r>
    </w:p>
    <w:p>
      <w:pPr>
        <w:spacing w:after="80"/>
      </w:pPr>
      <w:r>
        <w:t xml:space="preserve">Para a API REST, como não existe um único endpoint que combine dados do repositório e issues, a medição de cada trial soma o tempo e o tamanho de duas chamadas: GET /repos/{owner}/{repo} e GET /repos/{owner}/{repo}/issues. Para a API GraphQL, uma única consulta (query) equivalente retorna o mesmo conjunto de dados em uma única chamada POST.</w:t>
      </w:r>
    </w:p>
    <w:p>
      <w:pPr>
        <w:spacing w:after="160"/>
      </w:pPr>
      <w:r>
        <w:t xml:space="preserve">Os scripts de coleta (coletar_dados.py), análise estatística (analisar_dados.py) e geração de gráficos (gerar_graficos.py) estão disponíveis no pacote de arquivos deste laboratório, permitindo a reprodução integral do experimento mediante um GitHub Personal Access Token válido.</w:t>
      </w:r>
    </w:p>
    <w:p>
      <w:pPr>
        <w:pStyle w:val="Heading2"/>
      </w:pPr>
      <w:r>
        <w:t xml:space="preserve">2.6 Análise Estatística</w:t>
      </w:r>
    </w:p>
    <w:p>
      <w:pPr>
        <w:spacing w:after="160"/>
      </w:pPr>
      <w:r>
        <w:t xml:space="preserve">Após a coleta, os dados passaram por validação (remoção de medições com falha) e remoção de outliers via método IQR (intervalo interquartil) por tratamento. Em seguida, foi aplicado o teste de Shapiro-Wilk para verificar normalidade das distribuições. Como ao menos um dos grupos não apresentou distribuição compatível com normalidade (p ≤ 0,05 no teste de Shapiro-Wilk), foi utilizado o teste de Wilcoxon pareado (não-paramétrico) para comparar as métricas entre os tratamentos, ao nível de significância de 5% (α = 0,05).</w:t>
      </w:r>
    </w:p>
    <w:p>
      <w:pPr>
        <w:pStyle w:val="Heading2"/>
      </w:pPr>
      <w:r>
        <w:t xml:space="preserve">2.7 Ameaças à Validade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Validade interna: </w:t>
      </w:r>
      <w:r>
        <w:t xml:space="preserve">variações de latência de rede e cache durante a coleta foram mitigadas por meio de aleatorização da ordem de execução e múltiplas repetições.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Validade externa: </w:t>
      </w:r>
      <w:r>
        <w:t xml:space="preserve">os resultados refletem o comportamento específico da API do GitHub, podendo não generalizar diretamente para outras APIs ou domínios.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Validade de construto: </w:t>
      </w:r>
      <w:r>
        <w:t xml:space="preserve">o tempo medido no cliente inclui latência de rede, não isolando apenas o tempo de processamento no servidor.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Validade de conclusão: </w:t>
      </w:r>
      <w:r>
        <w:t xml:space="preserve">o tamanho amostral e os testes estatísticos apropriados reduzem o risco de conclusões espúrias.</w:t>
      </w:r>
    </w:p>
    <w:p>
      <w:pPr>
        <w:pStyle w:val="Heading1"/>
      </w:pPr>
      <w:r>
        <w:t xml:space="preserve">3. Resultados</w:t>
      </w:r>
    </w:p>
    <w:p>
      <w:pPr>
        <w:pStyle w:val="Heading2"/>
      </w:pPr>
      <w:r>
        <w:t xml:space="preserve">3.1 Estatística Descritiva</w:t>
      </w:r>
    </w:p>
    <w:p>
      <w:pPr>
        <w:spacing w:after="160"/>
      </w:pPr>
      <w:r>
        <w:t xml:space="preserve">A Tabela 1 apresenta as estatísticas descritivas das medições válidas (após remoção de outliers) para cada tratamento e métrica.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500"/>
        <w:gridCol w:w="1700"/>
        <w:gridCol w:w="1130"/>
        <w:gridCol w:w="113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Tratamento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Mediana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Desvio Padrão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 de Resposta (ms)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1.382,98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1.365,72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159,50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 de Resposta (ms)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636,99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634,80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80,21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Tamanho da Resposta (bytes)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29.371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25.854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12.395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Tamanho da Resposta (bytes)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925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301</w:t>
            </w:r>
          </w:p>
        </w:tc>
        <w:tc>
          <w:tcPr>
            <w:tcW w:type="dxa" w:w="1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295</w:t>
            </w:r>
          </w:p>
        </w:tc>
      </w:tr>
    </w:tbl>
    <w:p>
      <w:pPr>
        <w:spacing w:after="240" w:before="80"/>
      </w:pPr>
      <w:r>
        <w:rPr>
          <w:b/>
          <w:bCs/>
          <w:i/>
          <w:iCs/>
        </w:rPr>
        <w:t xml:space="preserve">Tabela 1. </w:t>
      </w:r>
      <w:r>
        <w:rPr>
          <w:i/>
          <w:iCs/>
          <w:sz w:val="20"/>
          <w:szCs w:val="20"/>
        </w:rPr>
        <w:t xml:space="preserve">Estatísticas descritivas por tratamento e métrica.</w:t>
      </w:r>
    </w:p>
    <w:p>
      <w:pPr>
        <w:pStyle w:val="Heading2"/>
      </w:pPr>
      <w:r>
        <w:t xml:space="preserve">3.2 RQ1 — Tempo de Resposta</w:t>
      </w:r>
    </w:p>
    <w:p>
      <w:pPr>
        <w:spacing w:after="160"/>
      </w:pPr>
      <w:r>
        <w:t xml:space="preserve">O teste de Wilcoxon pareado (não-paramétrico) indicou diferença estatisticamente significativa entre os tratamentos (estatística = 0,00; p-valor &lt; 0,001). A diferença mediana observada foi de aproximadamente 724,30 ms, com GraphQL apresentando tempos de resposta menores. Dessa forma, H0₁ é rejeitada em favor de H1₁.</w:t>
      </w:r>
    </w:p>
    <w:p>
      <w:pPr>
        <w:jc w:val="center"/>
      </w:pPr>
      <w:r>
        <w:drawing>
          <wp:inline distT="0" distB="0" distL="0" distR="0">
            <wp:extent cx="4762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1. Distribuição do tempo de resposta por tratamento.</w:t>
      </w:r>
    </w:p>
    <w:p>
      <w:pPr>
        <w:pStyle w:val="Heading2"/>
      </w:pPr>
      <w:r>
        <w:t xml:space="preserve">3.3 RQ2 — Tamanho da Resposta</w:t>
      </w:r>
    </w:p>
    <w:p>
      <w:pPr>
        <w:spacing w:after="160"/>
      </w:pPr>
      <w:r>
        <w:t xml:space="preserve">O teste de Wilcoxon pareado (não-paramétrico) indicou diferença estatisticamente significativa entre os tratamentos (estatística = 0,00; p-valor &lt; 0,001). A diferença mediana foi de aproximadamente 25.645 bytes, com as respostas GraphQL sendo menores. Dessa forma, H0₂ é rejeitada em favor de H1₂.</w:t>
      </w:r>
    </w:p>
    <w:p>
      <w:pPr>
        <w:jc w:val="center"/>
      </w:pPr>
      <w:r>
        <w:drawing>
          <wp:inline distT="0" distB="0" distL="0" distR="0">
            <wp:extent cx="4762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2. Distribuição do tamanho da resposta por tratamento.</w:t>
      </w:r>
    </w:p>
    <w:p>
      <w:pPr>
        <w:pStyle w:val="Heading2"/>
      </w:pPr>
      <w:r>
        <w:t xml:space="preserve">3.4 Comparação por Repositório</w:t>
      </w:r>
    </w:p>
    <w:p>
      <w:pPr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sz w:val="20"/>
          <w:szCs w:val="20"/>
        </w:rPr>
        <w:t xml:space="preserve">Figura 3. Tamanho médio da resposta por repositório e tratamento.</w:t>
      </w:r>
    </w:p>
    <w:p>
      <w:pPr>
        <w:pStyle w:val="Heading1"/>
      </w:pPr>
      <w:r>
        <w:t xml:space="preserve">4. Discussão</w:t>
      </w:r>
    </w:p>
    <w:p>
      <w:pPr>
        <w:spacing w:after="160"/>
      </w:pPr>
      <w:r>
        <w:t xml:space="preserve">Os resultados deste experimento controlado fornecem evidência estatística de que, no contexto da API do GitHub e para o conjunto de consultas avaliado, GraphQL apresenta respostas mais rápidas e GraphQL apresenta respostas menores que a outra abordagem, respondendo a RQ1 (sim) e RQ2 (sim).</w:t>
      </w:r>
    </w:p>
    <w:p>
      <w:pPr>
        <w:spacing w:after="160"/>
      </w:pPr>
      <w:r>
        <w:t xml:space="preserve">A diferença no tamanho da resposta é consistente com a principal vantagem teórica do GraphQL: a eliminação de overfetching, já que o cliente especifica exatamente os campos desejados, ao invés de receber a estrutura completa predefinida pelo endpoint REST. A diferença no tempo de resposta, por sua vez, pode ser parcialmente explicada pela necessidade de duas chamadas HTTP separadas no tratamento REST (uma para dados do repositório e outra para issues), enquanto o GraphQL resolveu a mesma necessidade em uma única requisição.</w:t>
      </w:r>
    </w:p>
    <w:p>
      <w:pPr>
        <w:spacing w:after="160"/>
      </w:pPr>
      <w:r>
        <w:t xml:space="preserve">É importante notar que essa vantagem pode não se generalizar para todos os cenários: em consultas mais simples, que já mapeiam para um único endpoint REST, a diferença de tempo poderia ser menor ou mesmo inexistente, já que o servidor GraphQL incorre em overhead adicional de resolução de schema. O ganho mais robusto e generalizável observado neste experimento é o de tamanho de payload, diretamente relacionado à quantidade de dados transferidos pela rede.</w:t>
      </w:r>
    </w:p>
    <w:p>
      <w:pPr>
        <w:spacing w:after="160"/>
      </w:pPr>
      <w:r>
        <w:t xml:space="preserve">Como trabalhos futuros, seria relevante repetir o experimento variando a complexidade das consultas (campos aninhados, profundidade do grafo) e comparando diferentes provedores de API, de modo a avaliar a robustez externa dessas conclusões.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LAB05 — GraphQL vs REST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ff858e2bd08796b9007bfa09eb6c176ae65c62.png"/><Relationship Id="rId10" Type="http://schemas.openxmlformats.org/officeDocument/2006/relationships/image" Target="media/ca3424828ae6199c5d1017714d46d8bbf335db3b.png"/><Relationship Id="rId11" Type="http://schemas.openxmlformats.org/officeDocument/2006/relationships/image" Target="media/02eddb98495b952a66cce4b1327eb7a978d657b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2026-06-24T19:27:23.579Z</dcterms:created>
  <dcterms:modified xsi:type="dcterms:W3CDTF">2026-06-24T19:27:23.587Z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