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D2F" w:rsidRPr="00746D2F" w:rsidRDefault="00746D2F" w:rsidP="0074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Contraste de C</w:t>
      </w:r>
      <w:bookmarkStart w:id="0" w:name="_GoBack"/>
      <w:bookmarkEnd w:id="0"/>
      <w:r w:rsidRPr="00746D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ores</w:t>
      </w:r>
    </w:p>
    <w:p w:rsidR="00746D2F" w:rsidRPr="00746D2F" w:rsidRDefault="00746D2F" w:rsidP="00746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foi observado:</w:t>
      </w: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Em algumas áreas, o contraste entre o texto e o fundo é baixo, o que pode dificultar a leitura, especialmente para pessoas com baixa visão ou em ambientes com pouca luz.</w:t>
      </w:r>
    </w:p>
    <w:p w:rsidR="00746D2F" w:rsidRPr="00746D2F" w:rsidRDefault="00746D2F" w:rsidP="00746D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melhorar:</w:t>
      </w:r>
    </w:p>
    <w:p w:rsidR="00746D2F" w:rsidRPr="00746D2F" w:rsidRDefault="00746D2F" w:rsidP="00746D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Ajustar as cores para garantir maior contraste, utilizando ferramentas como o </w:t>
      </w:r>
      <w:proofErr w:type="spellStart"/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Contrast</w:t>
      </w:r>
      <w:proofErr w:type="spellEnd"/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Checker</w:t>
      </w: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seguir os padrões de acessibilidade.</w:t>
      </w:r>
    </w:p>
    <w:p w:rsidR="00746D2F" w:rsidRPr="00746D2F" w:rsidRDefault="00746D2F" w:rsidP="00746D2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Evitar texto sobre imagens ou usar um fundo sólido nesses casos.</w:t>
      </w:r>
    </w:p>
    <w:p w:rsidR="00746D2F" w:rsidRPr="00746D2F" w:rsidRDefault="00746D2F" w:rsidP="0074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746D2F" w:rsidRPr="00746D2F" w:rsidRDefault="00746D2F" w:rsidP="0074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Navegação por Teclado</w:t>
      </w:r>
    </w:p>
    <w:p w:rsidR="00746D2F" w:rsidRPr="00746D2F" w:rsidRDefault="00746D2F" w:rsidP="00746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foi observado:</w:t>
      </w: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navegação por teclado funciona, mas o "foco" (aquele contorno ou destaque que mostra onde você está na página) nem sempre é fácil de identificar.</w:t>
      </w:r>
    </w:p>
    <w:p w:rsidR="00746D2F" w:rsidRPr="00746D2F" w:rsidRDefault="00746D2F" w:rsidP="00746D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melhorar:</w:t>
      </w:r>
    </w:p>
    <w:p w:rsidR="00746D2F" w:rsidRPr="00746D2F" w:rsidRDefault="00746D2F" w:rsidP="00746D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um destaque visual mais evidente para o foco, como uma borda clara ou mudança de cor nos elementos interativos.</w:t>
      </w:r>
    </w:p>
    <w:p w:rsidR="00746D2F" w:rsidRPr="00746D2F" w:rsidRDefault="00746D2F" w:rsidP="00746D2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Testar fluxos mais complexos, como a finalização de compras, para garantir que tudo seja acessível apenas com o teclado.</w:t>
      </w:r>
    </w:p>
    <w:p w:rsidR="00746D2F" w:rsidRPr="00746D2F" w:rsidRDefault="00746D2F" w:rsidP="0074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746D2F" w:rsidRPr="00746D2F" w:rsidRDefault="00746D2F" w:rsidP="0074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</w:t>
      </w:r>
      <w:r w:rsidRPr="00746D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Mensagens de Erro e Formulários</w:t>
      </w:r>
    </w:p>
    <w:p w:rsidR="00746D2F" w:rsidRPr="00746D2F" w:rsidRDefault="00746D2F" w:rsidP="00746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foi observado:</w:t>
      </w: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Mensagens de erro, como em formulários de </w:t>
      </w:r>
      <w:proofErr w:type="spellStart"/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cadastro, podem ser difíceis de perceber ou entender para quem utiliza leitores de tela ou tem dificuldades cognitivas.</w:t>
      </w:r>
    </w:p>
    <w:p w:rsidR="00746D2F" w:rsidRPr="00746D2F" w:rsidRDefault="00746D2F" w:rsidP="00746D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melhorar:</w:t>
      </w:r>
    </w:p>
    <w:p w:rsidR="00746D2F" w:rsidRPr="00746D2F" w:rsidRDefault="00746D2F" w:rsidP="00746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Configurar mensagens de erro para que sejam lidas automaticamente por leitores de tela, usando ferramentas como </w:t>
      </w: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aria-</w:t>
      </w:r>
      <w:proofErr w:type="spellStart"/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live</w:t>
      </w:r>
      <w:proofErr w:type="spellEnd"/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regions</w:t>
      </w:r>
      <w:proofErr w:type="spellEnd"/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46D2F" w:rsidRPr="00746D2F" w:rsidRDefault="00746D2F" w:rsidP="00746D2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que as mensagens sejam claras e específicas (ex.: "O campo de e-mail está vazio" em vez de "Erro no formulário").</w:t>
      </w:r>
    </w:p>
    <w:p w:rsidR="00746D2F" w:rsidRPr="00746D2F" w:rsidRDefault="00746D2F" w:rsidP="0074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746D2F" w:rsidRPr="00746D2F" w:rsidRDefault="00746D2F" w:rsidP="0074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</w:t>
      </w:r>
      <w:r w:rsidRPr="00746D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. Zoom e </w:t>
      </w:r>
      <w:proofErr w:type="spellStart"/>
      <w:r w:rsidRPr="00746D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Responsividade</w:t>
      </w:r>
      <w:proofErr w:type="spellEnd"/>
    </w:p>
    <w:p w:rsidR="00746D2F" w:rsidRPr="00746D2F" w:rsidRDefault="00746D2F" w:rsidP="00746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foi observado:</w:t>
      </w: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Quando se aplica zoom de 200% ou mais, alguns elementos da página podem ficar desalinhados ou sobrepostos, dificultando a navegação.</w:t>
      </w:r>
    </w:p>
    <w:p w:rsidR="00746D2F" w:rsidRPr="00746D2F" w:rsidRDefault="00746D2F" w:rsidP="00746D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melhorar:</w:t>
      </w:r>
    </w:p>
    <w:p w:rsidR="00746D2F" w:rsidRPr="00746D2F" w:rsidRDefault="00746D2F" w:rsidP="00746D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Ajustar o design responsivo para suportar aumentos de zoom sem comprometer a funcionalidade.</w:t>
      </w:r>
    </w:p>
    <w:p w:rsidR="00746D2F" w:rsidRPr="00746D2F" w:rsidRDefault="00746D2F" w:rsidP="00746D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Realizar testes para garantir que o conteúdo permaneça acessível em qualquer escala.</w:t>
      </w:r>
    </w:p>
    <w:p w:rsidR="00746D2F" w:rsidRPr="00746D2F" w:rsidRDefault="00746D2F" w:rsidP="00746D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746D2F" w:rsidRPr="00746D2F" w:rsidRDefault="00746D2F" w:rsidP="00746D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</w:t>
      </w:r>
      <w:r w:rsidRPr="00746D2F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. Botões e Links</w:t>
      </w:r>
    </w:p>
    <w:p w:rsidR="00746D2F" w:rsidRPr="00746D2F" w:rsidRDefault="00746D2F" w:rsidP="00746D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que foi observado:</w:t>
      </w: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Alguns botões e links têm rótulos genéricos como "Clique aqui", o que pode confundir usuários que dependem de leitores de tela.</w:t>
      </w:r>
    </w:p>
    <w:p w:rsidR="00746D2F" w:rsidRPr="00746D2F" w:rsidRDefault="00746D2F" w:rsidP="00746D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Como melhorar:</w:t>
      </w:r>
    </w:p>
    <w:p w:rsidR="00746D2F" w:rsidRPr="00746D2F" w:rsidRDefault="00746D2F" w:rsidP="00746D2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46D2F">
        <w:rPr>
          <w:rFonts w:ascii="Times New Roman" w:eastAsia="Times New Roman" w:hAnsi="Times New Roman" w:cs="Times New Roman"/>
          <w:sz w:val="24"/>
          <w:szCs w:val="24"/>
          <w:lang w:eastAsia="pt-BR"/>
        </w:rPr>
        <w:t>Tornar os rótulos mais descritivos, deixando claro o que cada link ou botão faz (ex.: “Adicionar ao carrinho” em vez de “Clique aqui”).</w:t>
      </w:r>
    </w:p>
    <w:p w:rsidR="00D53A79" w:rsidRPr="00CC7A88" w:rsidRDefault="00D53A79" w:rsidP="00CC7A88">
      <w:pPr>
        <w:rPr>
          <w:sz w:val="24"/>
          <w:szCs w:val="24"/>
        </w:rPr>
      </w:pPr>
    </w:p>
    <w:sectPr w:rsidR="00D53A79" w:rsidRPr="00CC7A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D79"/>
    <w:multiLevelType w:val="multilevel"/>
    <w:tmpl w:val="FC66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1830CD"/>
    <w:multiLevelType w:val="multilevel"/>
    <w:tmpl w:val="A66E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7451CE"/>
    <w:multiLevelType w:val="multilevel"/>
    <w:tmpl w:val="159ECA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>
    <w:nsid w:val="0D273EB9"/>
    <w:multiLevelType w:val="multilevel"/>
    <w:tmpl w:val="F68C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EF158B"/>
    <w:multiLevelType w:val="multilevel"/>
    <w:tmpl w:val="62E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DC1DA3"/>
    <w:multiLevelType w:val="multilevel"/>
    <w:tmpl w:val="3A9E3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B383E"/>
    <w:multiLevelType w:val="multilevel"/>
    <w:tmpl w:val="D56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011779"/>
    <w:multiLevelType w:val="multilevel"/>
    <w:tmpl w:val="535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6C2C11"/>
    <w:multiLevelType w:val="multilevel"/>
    <w:tmpl w:val="9488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DE426D"/>
    <w:multiLevelType w:val="multilevel"/>
    <w:tmpl w:val="1004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3E0E70"/>
    <w:multiLevelType w:val="multilevel"/>
    <w:tmpl w:val="206C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2D15D9"/>
    <w:multiLevelType w:val="multilevel"/>
    <w:tmpl w:val="C3B4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10"/>
  </w:num>
  <w:num w:numId="8">
    <w:abstractNumId w:val="0"/>
  </w:num>
  <w:num w:numId="9">
    <w:abstractNumId w:val="4"/>
  </w:num>
  <w:num w:numId="10">
    <w:abstractNumId w:val="5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A88"/>
    <w:rsid w:val="00746D2F"/>
    <w:rsid w:val="00CC7A88"/>
    <w:rsid w:val="00D5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7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7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C7A8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46D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C7A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C7A8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CC7A8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746D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324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2025-01-27T17:16:00Z</dcterms:created>
  <dcterms:modified xsi:type="dcterms:W3CDTF">2025-01-27T17:30:00Z</dcterms:modified>
</cp:coreProperties>
</file>