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BF24" w14:textId="5412A31D" w:rsidR="000D4CE3" w:rsidRDefault="00BE4962">
      <w:pPr>
        <w:pStyle w:val="Ttulo"/>
      </w:pPr>
      <w:proofErr w:type="spellStart"/>
      <w:r>
        <w:t>AgroBiome</w:t>
      </w:r>
      <w:proofErr w:type="spellEnd"/>
      <w:r>
        <w:br/>
      </w:r>
      <w:r w:rsidR="00000000">
        <w:t>Plataforma de</w:t>
      </w:r>
      <w:r>
        <w:t xml:space="preserve"> Caracterização de Solos de Vinha através da</w:t>
      </w:r>
      <w:r w:rsidR="00000000">
        <w:t xml:space="preserve"> Inferência de Traços Funcionais do </w:t>
      </w:r>
      <w:proofErr w:type="spellStart"/>
      <w:r w:rsidR="00000000">
        <w:t>Microbioma</w:t>
      </w:r>
      <w:proofErr w:type="spellEnd"/>
      <w:r w:rsidR="00000000">
        <w:t xml:space="preserve"> </w:t>
      </w:r>
    </w:p>
    <w:p w14:paraId="1AAE8DFD" w14:textId="6A08852C" w:rsidR="000D4CE3" w:rsidRDefault="00000000">
      <w:pPr>
        <w:pStyle w:val="Subttulo"/>
      </w:pPr>
      <w:r>
        <w:t>Memória Descritiva —Viticultura</w:t>
      </w:r>
    </w:p>
    <w:p w14:paraId="3589E872" w14:textId="77777777" w:rsidR="000D4CE3" w:rsidRDefault="00000000">
      <w:pPr>
        <w:pStyle w:val="Author"/>
      </w:pPr>
      <w:r>
        <w:t>AppGenomics, Lda · Vouchers para Startups (PRR / IAPMEI)</w:t>
      </w:r>
    </w:p>
    <w:p w14:paraId="06A72679" w14:textId="77777777" w:rsidR="000D4CE3" w:rsidRDefault="00000000">
      <w:pPr>
        <w:pStyle w:val="Data"/>
      </w:pPr>
      <w:r>
        <w:t>Junho de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55975645"/>
        <w:docPartObj>
          <w:docPartGallery w:val="Table of Contents"/>
          <w:docPartUnique/>
        </w:docPartObj>
      </w:sdtPr>
      <w:sdtContent>
        <w:p w14:paraId="557BA741" w14:textId="77777777" w:rsidR="000D4CE3" w:rsidRDefault="00000000">
          <w:pPr>
            <w:pStyle w:val="Cabealhodondice"/>
          </w:pPr>
          <w:r>
            <w:t>Table of Contents</w:t>
          </w:r>
        </w:p>
        <w:p w14:paraId="06AF991D" w14:textId="38CF2FA6" w:rsidR="0006706C" w:rsidRDefault="00000000">
          <w:pPr>
            <w:pStyle w:val="ndice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3579598" w:history="1">
            <w:r w:rsidR="0006706C" w:rsidRPr="00335BE6">
              <w:rPr>
                <w:rStyle w:val="Hiperligao"/>
                <w:noProof/>
              </w:rPr>
              <w:t>Sumário executivo</w:t>
            </w:r>
            <w:r w:rsidR="0006706C">
              <w:rPr>
                <w:noProof/>
                <w:webHidden/>
              </w:rPr>
              <w:tab/>
            </w:r>
            <w:r w:rsidR="0006706C">
              <w:rPr>
                <w:noProof/>
                <w:webHidden/>
              </w:rPr>
              <w:fldChar w:fldCharType="begin"/>
            </w:r>
            <w:r w:rsidR="0006706C">
              <w:rPr>
                <w:noProof/>
                <w:webHidden/>
              </w:rPr>
              <w:instrText xml:space="preserve"> PAGEREF _Toc233579598 \h </w:instrText>
            </w:r>
            <w:r w:rsidR="0006706C">
              <w:rPr>
                <w:noProof/>
                <w:webHidden/>
              </w:rPr>
            </w:r>
            <w:r w:rsidR="0006706C">
              <w:rPr>
                <w:noProof/>
                <w:webHidden/>
              </w:rPr>
              <w:fldChar w:fldCharType="separate"/>
            </w:r>
            <w:r w:rsidR="0006706C">
              <w:rPr>
                <w:noProof/>
                <w:webHidden/>
              </w:rPr>
              <w:t>2</w:t>
            </w:r>
            <w:r w:rsidR="0006706C">
              <w:rPr>
                <w:noProof/>
                <w:webHidden/>
              </w:rPr>
              <w:fldChar w:fldCharType="end"/>
            </w:r>
          </w:hyperlink>
        </w:p>
        <w:p w14:paraId="1991A19D" w14:textId="300195CD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599" w:history="1">
            <w:r w:rsidRPr="00335BE6">
              <w:rPr>
                <w:rStyle w:val="Hiperligao"/>
                <w:noProof/>
              </w:rPr>
              <w:t>1. Enquadramento e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1C0BB" w14:textId="74DE4383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00" w:history="1">
            <w:r w:rsidRPr="00335BE6">
              <w:rPr>
                <w:rStyle w:val="Hiperligao"/>
                <w:noProof/>
              </w:rPr>
              <w:t>1.1.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7E5C" w14:textId="24FC5476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01" w:history="1">
            <w:r w:rsidRPr="00335BE6">
              <w:rPr>
                <w:rStyle w:val="Hiperligao"/>
                <w:noProof/>
              </w:rPr>
              <w:t>1.2.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B3A49" w14:textId="799A9B13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602" w:history="1">
            <w:r w:rsidRPr="00335BE6">
              <w:rPr>
                <w:rStyle w:val="Hiperligao"/>
                <w:noProof/>
              </w:rPr>
              <w:t>2. Dados de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7C91A" w14:textId="0D572B82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03" w:history="1">
            <w:r w:rsidRPr="00335BE6">
              <w:rPr>
                <w:rStyle w:val="Hiperligao"/>
                <w:noProof/>
              </w:rPr>
              <w:t>2.1. Amostras de microbioma (input)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AC854" w14:textId="26801CB1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04" w:history="1">
            <w:r w:rsidRPr="00335BE6">
              <w:rPr>
                <w:rStyle w:val="Hiperligao"/>
                <w:noProof/>
              </w:rPr>
              <w:t>2.2. Base de traços metaTraits (referência funcional)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42F36" w14:textId="031BBBAD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605" w:history="1">
            <w:r w:rsidRPr="00335BE6">
              <w:rPr>
                <w:rStyle w:val="Hiperligao"/>
                <w:noProof/>
              </w:rPr>
              <w:t>3. Arquitetura e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3E54A" w14:textId="25037A51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06" w:history="1">
            <w:r w:rsidRPr="00335BE6">
              <w:rPr>
                <w:rStyle w:val="Hiperligao"/>
                <w:noProof/>
              </w:rPr>
              <w:t>3.1. Processamento taxonómico e normalização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03F9" w14:textId="4D079216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07" w:history="1">
            <w:r w:rsidRPr="00335BE6">
              <w:rPr>
                <w:rStyle w:val="Hiperligao"/>
                <w:noProof/>
              </w:rPr>
              <w:t>3.1.1. Identidade e rastreio das amostras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55B38" w14:textId="54525AEA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08" w:history="1">
            <w:r w:rsidRPr="00335BE6">
              <w:rPr>
                <w:rStyle w:val="Hiperligao"/>
                <w:noProof/>
              </w:rPr>
              <w:t xml:space="preserve">3.2. Anotação de traços — reprodução local do </w:t>
            </w:r>
            <w:r w:rsidRPr="00335BE6">
              <w:rPr>
                <w:rStyle w:val="Hiperligao"/>
                <w:i/>
                <w:noProof/>
              </w:rPr>
              <w:t>sumTraits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9659C" w14:textId="3F7D41BA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09" w:history="1">
            <w:r w:rsidRPr="00335BE6">
              <w:rPr>
                <w:rStyle w:val="Hiperligao"/>
                <w:noProof/>
              </w:rPr>
              <w:t>3.3. Matriz de composição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BEBA8" w14:textId="57ACB50E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10" w:history="1">
            <w:r w:rsidRPr="00335BE6">
              <w:rPr>
                <w:rStyle w:val="Hiperligao"/>
                <w:noProof/>
              </w:rPr>
              <w:t>3.4. Diversidade beta e ordenação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C9201" w14:textId="0B3E1757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11" w:history="1">
            <w:r w:rsidRPr="00335BE6">
              <w:rPr>
                <w:rStyle w:val="Hiperligao"/>
                <w:noProof/>
              </w:rPr>
              <w:t>3.5. Comparação e inferência do perfil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A0183" w14:textId="1BF00FBF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612" w:history="1">
            <w:r w:rsidRPr="00335BE6">
              <w:rPr>
                <w:rStyle w:val="Hiperligao"/>
                <w:noProof/>
              </w:rPr>
              <w:t>4. Camada interpretativa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CD91" w14:textId="7B638D7B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13" w:history="1">
            <w:r w:rsidRPr="00335BE6">
              <w:rPr>
                <w:rStyle w:val="Hiperligao"/>
                <w:noProof/>
              </w:rPr>
              <w:t>4.1. Princípios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F863" w14:textId="348971B2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14" w:history="1">
            <w:r w:rsidRPr="00335BE6">
              <w:rPr>
                <w:rStyle w:val="Hiperligao"/>
                <w:noProof/>
              </w:rPr>
              <w:t>4.2. Estrutura de grupos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B719" w14:textId="5991DD41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15" w:history="1">
            <w:r w:rsidRPr="00335BE6">
              <w:rPr>
                <w:rStyle w:val="Hiperligao"/>
                <w:noProof/>
              </w:rPr>
              <w:t>4.3. Réguas relativas e escalas absolutas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FF859" w14:textId="37074A4D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16" w:history="1">
            <w:r w:rsidRPr="00335BE6">
              <w:rPr>
                <w:rStyle w:val="Hiperligao"/>
                <w:noProof/>
              </w:rPr>
              <w:t>4.4. Exemplos de leitura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45FF" w14:textId="5B3DCEF4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617" w:history="1">
            <w:r w:rsidRPr="00335BE6">
              <w:rPr>
                <w:rStyle w:val="Hiperligao"/>
                <w:noProof/>
              </w:rPr>
              <w:t>5. Plataforma (entregável)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53568" w14:textId="495FD55D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18" w:history="1">
            <w:r w:rsidRPr="00335BE6">
              <w:rPr>
                <w:rStyle w:val="Hiperligao"/>
                <w:noProof/>
              </w:rPr>
              <w:t>5.1. Descrição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B4AB" w14:textId="3466171C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19" w:history="1">
            <w:r w:rsidRPr="00335BE6">
              <w:rPr>
                <w:rStyle w:val="Hiperligao"/>
                <w:noProof/>
              </w:rPr>
              <w:t>5.2. Características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CE73" w14:textId="229741DF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620" w:history="1">
            <w:r w:rsidRPr="00335BE6">
              <w:rPr>
                <w:rStyle w:val="Hiperligao"/>
                <w:noProof/>
              </w:rPr>
              <w:t>6. Validação e controlo de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DF2D0" w14:textId="263BBA46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621" w:history="1">
            <w:r w:rsidRPr="00335BE6">
              <w:rPr>
                <w:rStyle w:val="Hiperligao"/>
                <w:noProof/>
              </w:rPr>
              <w:t>7. Limitações e pressupostos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8D1BA" w14:textId="49BBEFE1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622" w:history="1">
            <w:r w:rsidRPr="00335BE6">
              <w:rPr>
                <w:rStyle w:val="Hiperligao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C74D" w14:textId="5B94FC6B" w:rsidR="0006706C" w:rsidRDefault="0006706C">
          <w:pPr>
            <w:pStyle w:val="ndice1"/>
            <w:tabs>
              <w:tab w:val="right" w:leader="dot" w:pos="8828"/>
            </w:tabs>
            <w:rPr>
              <w:noProof/>
            </w:rPr>
          </w:pPr>
          <w:hyperlink w:anchor="_Toc233579623" w:history="1">
            <w:r w:rsidRPr="00335BE6">
              <w:rPr>
                <w:rStyle w:val="Hiperligao"/>
                <w:noProof/>
              </w:rPr>
              <w:t>Anexo A — Indicadores quantitativos do piloto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C332" w14:textId="27749696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24" w:history="1">
            <w:r w:rsidRPr="00335BE6">
              <w:rPr>
                <w:rStyle w:val="Hiperligao"/>
                <w:noProof/>
              </w:rPr>
              <w:t>A.1. Base de dados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11010" w14:textId="28A4071C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25" w:history="1">
            <w:r w:rsidRPr="00335BE6">
              <w:rPr>
                <w:rStyle w:val="Hiperligao"/>
                <w:noProof/>
              </w:rPr>
              <w:t>A.2. Diversidade beta e ordenação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1E072" w14:textId="3106F644" w:rsidR="0006706C" w:rsidRDefault="0006706C">
          <w:pPr>
            <w:pStyle w:val="ndice2"/>
            <w:tabs>
              <w:tab w:val="right" w:leader="dot" w:pos="8828"/>
            </w:tabs>
            <w:rPr>
              <w:noProof/>
            </w:rPr>
          </w:pPr>
          <w:hyperlink w:anchor="_Toc233579626" w:history="1">
            <w:r w:rsidRPr="00335BE6">
              <w:rPr>
                <w:rStyle w:val="Hiperligao"/>
                <w:noProof/>
              </w:rPr>
              <w:t>A.3. Validação numérica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_Toc233579626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4468" w14:textId="3CEC5CD1" w:rsidR="000D4CE3" w:rsidRDefault="00000000">
          <w:r>
            <w:fldChar w:fldCharType="end"/>
          </w:r>
        </w:p>
      </w:sdtContent>
    </w:sdt>
    <w:p w14:paraId="6EC74C6B" w14:textId="77777777" w:rsidR="0006706C" w:rsidRDefault="000670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0" w:name="sumário-executivo"/>
      <w:bookmarkStart w:id="1" w:name="_Toc233579598"/>
      <w:r>
        <w:br w:type="page"/>
      </w:r>
    </w:p>
    <w:p w14:paraId="4E68EA73" w14:textId="0BEF1A0E" w:rsidR="000D4CE3" w:rsidRDefault="00000000">
      <w:pPr>
        <w:pStyle w:val="Ttulo1"/>
      </w:pPr>
      <w:r>
        <w:lastRenderedPageBreak/>
        <w:t>Sumário executivo</w:t>
      </w:r>
      <w:bookmarkEnd w:id="0"/>
      <w:bookmarkEnd w:id="1"/>
    </w:p>
    <w:p w14:paraId="29F71F1C" w14:textId="63E9C991" w:rsidR="000D4CE3" w:rsidRDefault="00000000" w:rsidP="00BE4962">
      <w:pPr>
        <w:pStyle w:val="FirstParagraph"/>
        <w:jc w:val="both"/>
      </w:pPr>
      <w:r>
        <w:t xml:space="preserve">A presente memória descreve o trabalho técnico desenvolvido pela AppGenomics no âmbito do projeto </w:t>
      </w:r>
      <w:r>
        <w:rPr>
          <w:b/>
        </w:rPr>
        <w:t>Vouchers para Startups (PRR / IAPMEI)</w:t>
      </w:r>
      <w:r>
        <w:t xml:space="preserve">, consubstanciado numa </w:t>
      </w:r>
      <w:r>
        <w:rPr>
          <w:b/>
        </w:rPr>
        <w:t>plataforma de inferência de traços funcionais do microbioma do solo</w:t>
      </w:r>
      <w:r>
        <w:t xml:space="preserve"> a partir de perfis taxonómicos obtidos por sequenciação genética (gene 16S rRNA). O caso de uso é a </w:t>
      </w:r>
      <w:r>
        <w:rPr>
          <w:b/>
        </w:rPr>
        <w:t>viticultura</w:t>
      </w:r>
      <w:r>
        <w:t>.</w:t>
      </w:r>
    </w:p>
    <w:p w14:paraId="08714D24" w14:textId="77777777" w:rsidR="000D4CE3" w:rsidRDefault="00000000" w:rsidP="00BE4962">
      <w:pPr>
        <w:pStyle w:val="Corpodetexto"/>
        <w:jc w:val="both"/>
      </w:pPr>
      <w:r>
        <w:t xml:space="preserve">O sistema constrói uma </w:t>
      </w:r>
      <w:r>
        <w:rPr>
          <w:b/>
        </w:rPr>
        <w:t>base de dados de referência</w:t>
      </w:r>
      <w:r>
        <w:t xml:space="preserve"> de amostras de microbioma de solo — agregadas de múltiplos projetos públicos de sequenciação e de amostras próprias, com aplicação-piloto em viticultura —, anota cada amostra com </w:t>
      </w:r>
      <w:r>
        <w:rPr>
          <w:b/>
        </w:rPr>
        <w:t>traços fenotípicos</w:t>
      </w:r>
      <w:r>
        <w:t xml:space="preserve"> (potencial funcional da comunidade microbiana) e permite </w:t>
      </w:r>
      <w:r>
        <w:rPr>
          <w:b/>
        </w:rPr>
        <w:t>comparar uma amostra nova</w:t>
      </w:r>
      <w:r>
        <w:t xml:space="preserve"> contra essa base, inferindo o seu perfil funcional por proximidade composicional. O resultado é apresentado numa </w:t>
      </w:r>
      <w:r>
        <w:rPr>
          <w:b/>
        </w:rPr>
        <w:t>plataforma web de página única</w:t>
      </w:r>
      <w:r>
        <w:t>, sem servidor, concebida para servir de evidência demonstrável e publicável.</w:t>
      </w:r>
    </w:p>
    <w:p w14:paraId="7DA91AFE" w14:textId="77777777" w:rsidR="000D4CE3" w:rsidRDefault="00000000">
      <w:pPr>
        <w:pStyle w:val="Corpodetexto"/>
      </w:pPr>
      <w:r>
        <w:t>O entregável distingue-se por três decisões metodológicas centrais:</w:t>
      </w:r>
    </w:p>
    <w:p w14:paraId="5B7D75F6" w14:textId="77777777" w:rsidR="000D4CE3" w:rsidRDefault="00000000" w:rsidP="00BE4962">
      <w:pPr>
        <w:pStyle w:val="Compact"/>
        <w:numPr>
          <w:ilvl w:val="0"/>
          <w:numId w:val="2"/>
        </w:numPr>
        <w:jc w:val="both"/>
      </w:pPr>
      <w:r>
        <w:rPr>
          <w:b/>
        </w:rPr>
        <w:t>Reprodução local e auditável</w:t>
      </w:r>
      <w:r>
        <w:t xml:space="preserve"> do fluxo de anotação de traços da iniciativa </w:t>
      </w:r>
      <w:r>
        <w:rPr>
          <w:i/>
        </w:rPr>
        <w:t>metaTraits</w:t>
      </w:r>
      <w:r>
        <w:t xml:space="preserve"> (EMBL), eliminando a dependência de submissão manual e tornando o processo escalável e reprodutível.</w:t>
      </w:r>
    </w:p>
    <w:p w14:paraId="77234996" w14:textId="77777777" w:rsidR="000D4CE3" w:rsidRDefault="00000000" w:rsidP="00BE4962">
      <w:pPr>
        <w:pStyle w:val="Compact"/>
        <w:numPr>
          <w:ilvl w:val="0"/>
          <w:numId w:val="2"/>
        </w:numPr>
        <w:jc w:val="both"/>
      </w:pPr>
      <w:r>
        <w:rPr>
          <w:b/>
        </w:rPr>
        <w:t>Separação clara entre comparação e interpretação</w:t>
      </w:r>
      <w:r>
        <w:t>: a semelhança entre amostras assenta exclusivamente na composição taxonómica; os traços funcionais são apenas a camada de leitura.</w:t>
      </w:r>
    </w:p>
    <w:p w14:paraId="1FCAFCED" w14:textId="77777777" w:rsidR="000D4CE3" w:rsidRDefault="00000000" w:rsidP="00BE4962">
      <w:pPr>
        <w:pStyle w:val="Compact"/>
        <w:numPr>
          <w:ilvl w:val="0"/>
          <w:numId w:val="2"/>
        </w:numPr>
        <w:jc w:val="both"/>
      </w:pPr>
      <w:r>
        <w:rPr>
          <w:b/>
        </w:rPr>
        <w:t>Camada interpretativa comparativa e não-prescritiva</w:t>
      </w:r>
      <w:r>
        <w:t xml:space="preserve">, que traduz indicadores técnicos numa leitura acessível ao produtor, enquadrada como </w:t>
      </w:r>
      <w:r>
        <w:rPr>
          <w:i/>
        </w:rPr>
        <w:t>potencial microbiano inferido</w:t>
      </w:r>
      <w:r>
        <w:t xml:space="preserve"> e não como medição direta.</w:t>
      </w:r>
    </w:p>
    <w:p w14:paraId="4955C645" w14:textId="77777777" w:rsidR="000D4CE3" w:rsidRDefault="00000000">
      <w:pPr>
        <w:pStyle w:val="Ttulo1"/>
      </w:pPr>
      <w:bookmarkStart w:id="2" w:name="enquadramento-e-objetivos"/>
      <w:bookmarkStart w:id="3" w:name="_Toc233579599"/>
      <w:r>
        <w:t>1. Enquadramento e objetivos</w:t>
      </w:r>
      <w:bookmarkEnd w:id="2"/>
      <w:bookmarkEnd w:id="3"/>
    </w:p>
    <w:p w14:paraId="7AA42B6A" w14:textId="77777777" w:rsidR="000D4CE3" w:rsidRDefault="00000000">
      <w:pPr>
        <w:pStyle w:val="Ttulo2"/>
      </w:pPr>
      <w:bookmarkStart w:id="4" w:name="contexto"/>
      <w:bookmarkStart w:id="5" w:name="_Toc233579600"/>
      <w:r>
        <w:t>1.1. Contexto</w:t>
      </w:r>
      <w:bookmarkEnd w:id="4"/>
      <w:bookmarkEnd w:id="5"/>
    </w:p>
    <w:p w14:paraId="0722865C" w14:textId="77777777" w:rsidR="000D4CE3" w:rsidRDefault="00000000" w:rsidP="00BE4962">
      <w:pPr>
        <w:pStyle w:val="FirstParagraph"/>
        <w:jc w:val="both"/>
      </w:pPr>
      <w:r>
        <w:t xml:space="preserve">A análise do microbioma do solo é hoje um indicador emergente de saúde e funcionalidade do solo agrícola. A sequenciação do gene 16S rRNA permite caracterizar a composição taxonómica da comunidade bacteriana de forma custo-eficiente. Contudo, a composição taxonómica por si só é de difícil interpretação agronómica: importa traduzi-la em </w:t>
      </w:r>
      <w:r>
        <w:rPr>
          <w:b/>
        </w:rPr>
        <w:t>funções</w:t>
      </w:r>
      <w:r>
        <w:t xml:space="preserve"> (ciclos de nutrientes, decomposição, promoção de crescimento vegetal, resiliência, entre outras).</w:t>
      </w:r>
    </w:p>
    <w:p w14:paraId="52892CD8" w14:textId="335AF836" w:rsidR="000D4CE3" w:rsidRDefault="00000000" w:rsidP="00BE4962">
      <w:pPr>
        <w:pStyle w:val="Corpodetexto"/>
        <w:jc w:val="both"/>
      </w:pPr>
      <w:r>
        <w:t xml:space="preserve">O presente projeto operacionaliza </w:t>
      </w:r>
      <w:r w:rsidR="00BE4962">
        <w:t xml:space="preserve">o </w:t>
      </w:r>
      <w:r>
        <w:t xml:space="preserve">conhecimento </w:t>
      </w:r>
      <w:r w:rsidR="00BE4962">
        <w:t xml:space="preserve">entre </w:t>
      </w:r>
      <w:r w:rsidR="00BE4962">
        <w:t xml:space="preserve">táxones microbianos </w:t>
      </w:r>
      <w:r w:rsidR="00BE4962">
        <w:t>e</w:t>
      </w:r>
      <w:r w:rsidR="00BE4962">
        <w:t xml:space="preserve"> traços fenotípicos</w:t>
      </w:r>
      <w:r w:rsidR="00BE4962">
        <w:t xml:space="preserve"> </w:t>
      </w:r>
      <w:r>
        <w:t xml:space="preserve">num produto utilizável, fechando o ciclo entre </w:t>
      </w:r>
      <w:r>
        <w:rPr>
          <w:b/>
        </w:rPr>
        <w:t>dado bruto de sequenciação</w:t>
      </w:r>
      <w:r>
        <w:t xml:space="preserve"> e </w:t>
      </w:r>
      <w:r>
        <w:rPr>
          <w:b/>
        </w:rPr>
        <w:t>leitura funcional acionável</w:t>
      </w:r>
      <w:r>
        <w:t>.</w:t>
      </w:r>
    </w:p>
    <w:p w14:paraId="738A47DC" w14:textId="77777777" w:rsidR="000D4CE3" w:rsidRDefault="00000000">
      <w:pPr>
        <w:pStyle w:val="Ttulo2"/>
      </w:pPr>
      <w:bookmarkStart w:id="6" w:name="objetivos"/>
      <w:bookmarkStart w:id="7" w:name="_Toc233579601"/>
      <w:r>
        <w:t>1.2. Objetivos</w:t>
      </w:r>
      <w:bookmarkEnd w:id="6"/>
      <w:bookmarkEnd w:id="7"/>
    </w:p>
    <w:p w14:paraId="1AF3CA9F" w14:textId="77777777" w:rsidR="000D4CE3" w:rsidRDefault="00000000">
      <w:pPr>
        <w:pStyle w:val="Compact"/>
        <w:numPr>
          <w:ilvl w:val="0"/>
          <w:numId w:val="3"/>
        </w:numPr>
      </w:pPr>
      <w:r>
        <w:t xml:space="preserve">Construir uma </w:t>
      </w:r>
      <w:r>
        <w:rPr>
          <w:b/>
        </w:rPr>
        <w:t>base de dados de referência</w:t>
      </w:r>
      <w:r>
        <w:t xml:space="preserve"> de perfis funcionais de solo de vinha, a partir de relatórios de sequenciação 16S.</w:t>
      </w:r>
    </w:p>
    <w:p w14:paraId="15B0E771" w14:textId="77777777" w:rsidR="000D4CE3" w:rsidRDefault="00000000">
      <w:pPr>
        <w:pStyle w:val="Compact"/>
        <w:numPr>
          <w:ilvl w:val="0"/>
          <w:numId w:val="3"/>
        </w:numPr>
      </w:pPr>
      <w:r>
        <w:lastRenderedPageBreak/>
        <w:t xml:space="preserve">Desenvolver um </w:t>
      </w:r>
      <w:r>
        <w:rPr>
          <w:b/>
        </w:rPr>
        <w:t>mecanismo de comparação</w:t>
      </w:r>
      <w:r>
        <w:t xml:space="preserve"> que posicione uma amostra nova face à base e infira o seu perfil funcional.</w:t>
      </w:r>
    </w:p>
    <w:p w14:paraId="3EAB9DF0" w14:textId="77777777" w:rsidR="000D4CE3" w:rsidRDefault="00000000">
      <w:pPr>
        <w:pStyle w:val="Compact"/>
        <w:numPr>
          <w:ilvl w:val="0"/>
          <w:numId w:val="3"/>
        </w:numPr>
      </w:pPr>
      <w:r>
        <w:t xml:space="preserve">Disponibilizar uma </w:t>
      </w:r>
      <w:r>
        <w:rPr>
          <w:b/>
        </w:rPr>
        <w:t>plataforma web</w:t>
      </w:r>
      <w:r>
        <w:t xml:space="preserve"> simples, autónoma e publicável, que sirva de prova de conceito e de evidência do trabalho realizado.</w:t>
      </w:r>
    </w:p>
    <w:p w14:paraId="58D6C964" w14:textId="77777777" w:rsidR="000D4CE3" w:rsidRDefault="00000000">
      <w:pPr>
        <w:pStyle w:val="Compact"/>
        <w:numPr>
          <w:ilvl w:val="0"/>
          <w:numId w:val="3"/>
        </w:numPr>
      </w:pPr>
      <w:r>
        <w:t xml:space="preserve">Definir uma </w:t>
      </w:r>
      <w:r>
        <w:rPr>
          <w:b/>
        </w:rPr>
        <w:t>camada interpretativa</w:t>
      </w:r>
      <w:r>
        <w:t xml:space="preserve"> que torne os resultados compreensíveis para um público não-especialista, mantendo rigor e prudência científica.</w:t>
      </w:r>
    </w:p>
    <w:p w14:paraId="42F8ECED" w14:textId="77777777" w:rsidR="000D4CE3" w:rsidRDefault="00000000">
      <w:pPr>
        <w:pStyle w:val="Ttulo1"/>
      </w:pPr>
      <w:bookmarkStart w:id="8" w:name="dados-de-base"/>
      <w:bookmarkStart w:id="9" w:name="_Toc233579602"/>
      <w:r>
        <w:t>2. Dados de base</w:t>
      </w:r>
      <w:bookmarkEnd w:id="8"/>
      <w:bookmarkEnd w:id="9"/>
    </w:p>
    <w:p w14:paraId="62A613A4" w14:textId="77777777" w:rsidR="000D4CE3" w:rsidRDefault="00000000">
      <w:pPr>
        <w:pStyle w:val="Ttulo2"/>
      </w:pPr>
      <w:bookmarkStart w:id="10" w:name="amostras-de-microbioma-input"/>
      <w:bookmarkStart w:id="11" w:name="_Toc233579603"/>
      <w:r>
        <w:t>2.1. Amostras de microbioma (input)</w:t>
      </w:r>
      <w:bookmarkEnd w:id="10"/>
      <w:bookmarkEnd w:id="11"/>
    </w:p>
    <w:p w14:paraId="184C68BA" w14:textId="77777777" w:rsidR="000D4CE3" w:rsidRDefault="00000000" w:rsidP="00BE4962">
      <w:pPr>
        <w:pStyle w:val="FirstParagraph"/>
        <w:jc w:val="both"/>
      </w:pPr>
      <w:r>
        <w:t xml:space="preserve">A unidade de informação de entrada é o </w:t>
      </w:r>
      <w:r>
        <w:rPr>
          <w:b/>
        </w:rPr>
        <w:t>relatório Bracken</w:t>
      </w:r>
      <w:r>
        <w:t xml:space="preserve"> (estilo Kraken2), resultante da classificação taxonómica das leituras de sequenciação 16S. Este relatório contém a hierarquia taxonómica completa (Domínio → Filo → Classe → Ordem → Família → Género → Espécie) com a abundância associada a cada nível.</w:t>
      </w:r>
    </w:p>
    <w:p w14:paraId="465A5B7F" w14:textId="0B00C06B" w:rsidR="000D4CE3" w:rsidRDefault="00000000" w:rsidP="00BE4962">
      <w:pPr>
        <w:pStyle w:val="Corpodetexto"/>
        <w:jc w:val="both"/>
      </w:pPr>
      <w:r>
        <w:rPr>
          <w:b/>
        </w:rPr>
        <w:t>Decisão metodológica</w:t>
      </w:r>
      <w:r w:rsidR="00BE4962">
        <w:rPr>
          <w:b/>
        </w:rPr>
        <w:t>:</w:t>
      </w:r>
      <w:r>
        <w:rPr>
          <w:b/>
        </w:rPr>
        <w:t xml:space="preserve"> resolução ao nível de género.</w:t>
      </w:r>
      <w:r>
        <w:t xml:space="preserve"> A sequenciação do 16S oferece resolução taxonómica fiável tipicamente até ao nível de </w:t>
      </w:r>
      <w:r>
        <w:rPr>
          <w:b/>
        </w:rPr>
        <w:t>género</w:t>
      </w:r>
      <w:r>
        <w:t>. Em conformidade, todo o pipeline colapsa a informação de espécie no respetivo género e trabalha exclusivamente a esse nível. Esta opção é deliberada e alinhada com as boas práticas para dados 16S.</w:t>
      </w:r>
    </w:p>
    <w:p w14:paraId="1374EC42" w14:textId="77777777" w:rsidR="000D4CE3" w:rsidRDefault="00000000" w:rsidP="00BE4962">
      <w:pPr>
        <w:pStyle w:val="Corpodetexto"/>
        <w:jc w:val="both"/>
      </w:pPr>
      <w:r>
        <w:t xml:space="preserve">A coleção de referência </w:t>
      </w:r>
      <w:r>
        <w:rPr>
          <w:b/>
        </w:rPr>
        <w:t>agrega vários projetos de sequenciação</w:t>
      </w:r>
      <w:r>
        <w:t xml:space="preserve"> (repositórios públicos ENA/SRA) e amostras próprias, consolidados num espaço de comparação comum. Cada amostra recebe um </w:t>
      </w:r>
      <w:r>
        <w:rPr>
          <w:b/>
        </w:rPr>
        <w:t>identificador estável</w:t>
      </w:r>
      <w:r>
        <w:t xml:space="preserve"> (ver “Identidade e rastreio das amostras”), pelo que a base cresce por simples adição de ficheiros.</w:t>
      </w:r>
    </w:p>
    <w:p w14:paraId="079860A5" w14:textId="0F21244F" w:rsidR="000D4CE3" w:rsidRDefault="00000000" w:rsidP="00BE4962">
      <w:pPr>
        <w:pStyle w:val="Corpodetexto"/>
        <w:jc w:val="both"/>
      </w:pPr>
      <w:r>
        <w:rPr>
          <w:b/>
        </w:rPr>
        <w:t>Controlo de qualidade</w:t>
      </w:r>
      <w:r w:rsidR="00BE4962">
        <w:rPr>
          <w:b/>
        </w:rPr>
        <w:t>:</w:t>
      </w:r>
      <w:r>
        <w:rPr>
          <w:b/>
        </w:rPr>
        <w:t xml:space="preserve"> exclusão de amostras degeneradas.</w:t>
      </w:r>
      <w:r>
        <w:t xml:space="preserve"> Algumas sequenciações falham (cobertura insuficiente), produzindo perfis sem conteúdo informativo — tipicamente colapsados num único género. Estas amostras são identificadas por um </w:t>
      </w:r>
      <w:r>
        <w:rPr>
          <w:b/>
        </w:rPr>
        <w:t>critério objetivo</w:t>
      </w:r>
      <w:r>
        <w:t xml:space="preserve"> (≤ 2 géneros detetados, contra ≥ 20 nas válidas</w:t>
      </w:r>
      <w:r w:rsidR="00BE4962">
        <w:t xml:space="preserve">) </w:t>
      </w:r>
      <w:r>
        <w:t xml:space="preserve">e </w:t>
      </w:r>
      <w:r>
        <w:rPr>
          <w:b/>
        </w:rPr>
        <w:t>excluídas a montante</w:t>
      </w:r>
      <w:r>
        <w:t xml:space="preserve"> do pipeline. A exclusão é reversível e auditável: as amostras são movidas para uma pasta arquivada (fora do âmbito de processamento) e registadas num relatório dedicado.</w:t>
      </w:r>
    </w:p>
    <w:p w14:paraId="7BC0440C" w14:textId="77777777" w:rsidR="000D4CE3" w:rsidRDefault="00000000">
      <w:pPr>
        <w:pStyle w:val="Ttulo2"/>
      </w:pPr>
      <w:bookmarkStart w:id="12" w:name="Xf6bd03a3581143e8970d799607cedfa90bdfa3a"/>
      <w:bookmarkStart w:id="13" w:name="_Toc233579604"/>
      <w:r>
        <w:t>2.2. Base de traços metaTraits (referência funcional)</w:t>
      </w:r>
      <w:bookmarkEnd w:id="12"/>
      <w:bookmarkEnd w:id="13"/>
    </w:p>
    <w:p w14:paraId="19FF83B6" w14:textId="77777777" w:rsidR="000D4CE3" w:rsidRDefault="00000000">
      <w:pPr>
        <w:pStyle w:val="FirstParagraph"/>
      </w:pPr>
      <w:r>
        <w:t xml:space="preserve">A anotação funcional assenta numa base de conhecimento derivada do </w:t>
      </w:r>
      <w:r>
        <w:rPr>
          <w:i/>
        </w:rPr>
        <w:t>metaTraits</w:t>
      </w:r>
      <w:r>
        <w:t xml:space="preserve">, organizada </w:t>
      </w:r>
      <w:r>
        <w:rPr>
          <w:b/>
        </w:rPr>
        <w:t>por género</w:t>
      </w:r>
      <w:r>
        <w:t>. Para cada género, a base regista, por traço:</w:t>
      </w:r>
    </w:p>
    <w:p w14:paraId="7A6CA0A0" w14:textId="77777777" w:rsidR="000D4CE3" w:rsidRDefault="00000000">
      <w:pPr>
        <w:pStyle w:val="Compact"/>
        <w:numPr>
          <w:ilvl w:val="0"/>
          <w:numId w:val="4"/>
        </w:numPr>
      </w:pPr>
      <w:r>
        <w:t>a natureza do traço (discreto/categórico ou numérico);</w:t>
      </w:r>
    </w:p>
    <w:p w14:paraId="345B0D37" w14:textId="77777777" w:rsidR="000D4CE3" w:rsidRDefault="00000000">
      <w:pPr>
        <w:pStyle w:val="Compact"/>
        <w:numPr>
          <w:ilvl w:val="0"/>
          <w:numId w:val="4"/>
        </w:numPr>
      </w:pPr>
      <w:r>
        <w:t>o número de observações e de bases de dados que o suportam;</w:t>
      </w:r>
    </w:p>
    <w:p w14:paraId="2416D0D2" w14:textId="77777777" w:rsidR="000D4CE3" w:rsidRDefault="00000000">
      <w:pPr>
        <w:pStyle w:val="Compact"/>
        <w:numPr>
          <w:ilvl w:val="0"/>
          <w:numId w:val="4"/>
        </w:numPr>
      </w:pPr>
      <w:r>
        <w:t xml:space="preserve">o </w:t>
      </w:r>
      <w:r>
        <w:rPr>
          <w:b/>
        </w:rPr>
        <w:t>rótulo maioritário</w:t>
      </w:r>
      <w:r>
        <w:t xml:space="preserve"> (ex.: presença/ausência de uma função, estado dominante, ou valor numérico mediano com unidade).</w:t>
      </w:r>
    </w:p>
    <w:p w14:paraId="1A55D9F7" w14:textId="77777777" w:rsidR="000D4CE3" w:rsidRDefault="00000000">
      <w:pPr>
        <w:pStyle w:val="FirstParagraph"/>
      </w:pPr>
      <w:r>
        <w:t>Esta base constitui a tabela de consulta a partir da qual cada amostra é enriquecida com o seu perfil funcional ao nível da comunidade.</w:t>
      </w:r>
    </w:p>
    <w:p w14:paraId="10D20CE8" w14:textId="77777777" w:rsidR="000D4CE3" w:rsidRDefault="00000000">
      <w:pPr>
        <w:pStyle w:val="Ttulo1"/>
      </w:pPr>
      <w:bookmarkStart w:id="14" w:name="arquitetura-e-metodologia"/>
      <w:bookmarkStart w:id="15" w:name="_Toc233579605"/>
      <w:r>
        <w:lastRenderedPageBreak/>
        <w:t>3. Arquitetura e metodologia</w:t>
      </w:r>
      <w:bookmarkEnd w:id="14"/>
      <w:bookmarkEnd w:id="15"/>
    </w:p>
    <w:p w14:paraId="6545DC5F" w14:textId="77777777" w:rsidR="000D4CE3" w:rsidRDefault="00000000" w:rsidP="0006706C">
      <w:pPr>
        <w:pStyle w:val="FirstParagraph"/>
        <w:jc w:val="both"/>
      </w:pPr>
      <w:r>
        <w:t xml:space="preserve">O sistema está organizado num </w:t>
      </w:r>
      <w:r>
        <w:rPr>
          <w:b/>
        </w:rPr>
        <w:t>pipeline file-driven</w:t>
      </w:r>
      <w:r>
        <w:t>: a base de dados é, por construção, o conteúdo da pasta de amostras; adicionar, remover ou substituir amostras resume-se a alterar ficheiros e voltar a correr o pipeline, sem intervenção no código.</w:t>
      </w:r>
    </w:p>
    <w:p w14:paraId="44241C47" w14:textId="77777777" w:rsidR="000D4CE3" w:rsidRDefault="00000000" w:rsidP="0006706C">
      <w:pPr>
        <w:pStyle w:val="Ttulo2"/>
        <w:jc w:val="both"/>
      </w:pPr>
      <w:bookmarkStart w:id="16" w:name="processamento-taxonómico-e-normalização"/>
      <w:bookmarkStart w:id="17" w:name="_Toc233579606"/>
      <w:r>
        <w:t>3.1. Processamento taxonómico e normalização</w:t>
      </w:r>
      <w:bookmarkEnd w:id="16"/>
      <w:bookmarkEnd w:id="17"/>
    </w:p>
    <w:p w14:paraId="385D9B9F" w14:textId="77777777" w:rsidR="000D4CE3" w:rsidRDefault="00000000" w:rsidP="0006706C">
      <w:pPr>
        <w:pStyle w:val="FirstParagraph"/>
        <w:jc w:val="both"/>
      </w:pPr>
      <w:r>
        <w:t xml:space="preserve">O relatório Bracken é processado por um analisador que percorre a hierarquia taxonómica, mapeia os níveis canónicos, </w:t>
      </w:r>
      <w:r>
        <w:rPr>
          <w:b/>
        </w:rPr>
        <w:t>colapsa as espécies no género pai</w:t>
      </w:r>
      <w:r>
        <w:t xml:space="preserve"> e emite um perfil normalizado de abundâncias relativas por género. Este formato uniforme é a entrada comum de todas as etapas subsequentes.</w:t>
      </w:r>
    </w:p>
    <w:p w14:paraId="7A27F5B4" w14:textId="77777777" w:rsidR="000D4CE3" w:rsidRDefault="00000000" w:rsidP="0006706C">
      <w:pPr>
        <w:pStyle w:val="Ttulo2"/>
        <w:jc w:val="both"/>
      </w:pPr>
      <w:bookmarkStart w:id="18" w:name="identidade-e-rastreio-das-amostras"/>
      <w:bookmarkStart w:id="19" w:name="_Toc233579607"/>
      <w:r>
        <w:t>3.1.1. Identidade e rastreio das amostras</w:t>
      </w:r>
      <w:bookmarkEnd w:id="18"/>
      <w:bookmarkEnd w:id="19"/>
    </w:p>
    <w:p w14:paraId="6A09FD83" w14:textId="77777777" w:rsidR="000D4CE3" w:rsidRDefault="00000000" w:rsidP="0006706C">
      <w:pPr>
        <w:pStyle w:val="FirstParagraph"/>
        <w:jc w:val="both"/>
      </w:pPr>
      <w:r>
        <w:t xml:space="preserve">Como a base agrega amostras de origens distintas, cada amostra é identificada pela sua </w:t>
      </w:r>
      <w:r>
        <w:rPr>
          <w:b/>
        </w:rPr>
        <w:t>accession</w:t>
      </w:r>
      <w:r>
        <w:t xml:space="preserve"> (identificador único e intrínseco do repositório de sequenciação), e não por uma numeração manual sujeita a colisões entre projetos. O pipeline mantém um </w:t>
      </w:r>
      <w:r>
        <w:rPr>
          <w:b/>
        </w:rPr>
        <w:t>registo persistente</w:t>
      </w:r>
      <w:r>
        <w:t xml:space="preserve"> que atribui a cada accession um </w:t>
      </w:r>
      <w:r>
        <w:rPr>
          <w:b/>
        </w:rPr>
        <w:t>número estável</w:t>
      </w:r>
      <w:r>
        <w:t>: amostras novas recebem automaticamente o próximo número ao serem adicionadas, e as existentes mantêm o seu para sempre. Este registo é a tabela de correspondência número ↔ amostra, garantindo rastreabilidade e tornando a expansão da base robusta e à prova de erro (basta colocar os ficheiros na pasta).</w:t>
      </w:r>
    </w:p>
    <w:p w14:paraId="1C4F8600" w14:textId="77777777" w:rsidR="000D4CE3" w:rsidRDefault="00000000">
      <w:pPr>
        <w:pStyle w:val="Ttulo2"/>
      </w:pPr>
      <w:bookmarkStart w:id="20" w:name="X7efa92d2082dd5f2736760a984768d68ab989da"/>
      <w:bookmarkStart w:id="21" w:name="_Toc233579608"/>
      <w:r>
        <w:t xml:space="preserve">3.2. Anotação de traços — reprodução local do </w:t>
      </w:r>
      <w:r>
        <w:rPr>
          <w:i/>
        </w:rPr>
        <w:t>sumTraits</w:t>
      </w:r>
      <w:bookmarkEnd w:id="20"/>
      <w:bookmarkEnd w:id="21"/>
    </w:p>
    <w:p w14:paraId="31D467B2" w14:textId="77777777" w:rsidR="000D4CE3" w:rsidRDefault="00000000" w:rsidP="0006706C">
      <w:pPr>
        <w:pStyle w:val="FirstParagraph"/>
        <w:jc w:val="both"/>
      </w:pPr>
      <w:r>
        <w:t xml:space="preserve">O fluxo oficial do </w:t>
      </w:r>
      <w:r>
        <w:rPr>
          <w:i/>
        </w:rPr>
        <w:t>metaTraits</w:t>
      </w:r>
      <w:r>
        <w:t xml:space="preserve"> (</w:t>
      </w:r>
      <w:r>
        <w:rPr>
          <w:i/>
        </w:rPr>
        <w:t>sumTraits</w:t>
      </w:r>
      <w:r>
        <w:t xml:space="preserve">) exigiria submissão manual de cada amostra, inviabilizando o processamento em lote. Foi desenvolvida e </w:t>
      </w:r>
      <w:r>
        <w:rPr>
          <w:b/>
        </w:rPr>
        <w:t>validada uma reprodução local e offline</w:t>
      </w:r>
      <w:r>
        <w:t xml:space="preserve"> desse fluxo, que:</w:t>
      </w:r>
    </w:p>
    <w:p w14:paraId="3C9AEC42" w14:textId="77777777" w:rsidR="000D4CE3" w:rsidRDefault="00000000">
      <w:pPr>
        <w:pStyle w:val="Compact"/>
        <w:numPr>
          <w:ilvl w:val="0"/>
          <w:numId w:val="5"/>
        </w:numPr>
      </w:pPr>
      <w:r>
        <w:t>enriquece cada táxon do perfil com os respetivos traços;</w:t>
      </w:r>
    </w:p>
    <w:p w14:paraId="1E667C97" w14:textId="77777777" w:rsidR="000D4CE3" w:rsidRDefault="00000000">
      <w:pPr>
        <w:pStyle w:val="Compact"/>
        <w:numPr>
          <w:ilvl w:val="0"/>
          <w:numId w:val="5"/>
        </w:numPr>
      </w:pPr>
      <w:r>
        <w:rPr>
          <w:b/>
        </w:rPr>
        <w:t>agrega ao nível da comunidade</w:t>
      </w:r>
      <w:r>
        <w:t>, ponderando pela abundância de cada género;</w:t>
      </w:r>
    </w:p>
    <w:p w14:paraId="5CC673D0" w14:textId="77777777" w:rsidR="000D4CE3" w:rsidRDefault="00000000">
      <w:pPr>
        <w:pStyle w:val="Compact"/>
        <w:numPr>
          <w:ilvl w:val="0"/>
          <w:numId w:val="5"/>
        </w:numPr>
      </w:pPr>
      <w:r>
        <w:t>replica fielmente o formato de saída do sistema de referência.</w:t>
      </w:r>
    </w:p>
    <w:p w14:paraId="4455CCED" w14:textId="77777777" w:rsidR="000D4CE3" w:rsidRDefault="00000000">
      <w:pPr>
        <w:pStyle w:val="FirstParagraph"/>
      </w:pPr>
      <w:r>
        <w:t>A agregação respeita a natureza de cada traço:</w:t>
      </w:r>
    </w:p>
    <w:p w14:paraId="2AA37C30" w14:textId="77777777" w:rsidR="000D4CE3" w:rsidRDefault="00000000">
      <w:pPr>
        <w:pStyle w:val="Compact"/>
        <w:numPr>
          <w:ilvl w:val="0"/>
          <w:numId w:val="6"/>
        </w:numPr>
      </w:pPr>
      <w:r>
        <w:rPr>
          <w:b/>
        </w:rPr>
        <w:t>Traços booleanos</w:t>
      </w:r>
      <w:r>
        <w:t xml:space="preserve"> → fração da comunidade com a função (consenso verdadeiro/falso e ausência de maioria).</w:t>
      </w:r>
    </w:p>
    <w:p w14:paraId="5CDFF9FA" w14:textId="77777777" w:rsidR="000D4CE3" w:rsidRDefault="00000000">
      <w:pPr>
        <w:pStyle w:val="Compact"/>
        <w:numPr>
          <w:ilvl w:val="0"/>
          <w:numId w:val="6"/>
        </w:numPr>
      </w:pPr>
      <w:r>
        <w:rPr>
          <w:b/>
        </w:rPr>
        <w:t>Traços categóricos</w:t>
      </w:r>
      <w:r>
        <w:t xml:space="preserve"> → estado dominante por abundância e respetivas alternativas.</w:t>
      </w:r>
    </w:p>
    <w:p w14:paraId="1785E309" w14:textId="77777777" w:rsidR="000D4CE3" w:rsidRDefault="00000000">
      <w:pPr>
        <w:pStyle w:val="Compact"/>
        <w:numPr>
          <w:ilvl w:val="0"/>
          <w:numId w:val="6"/>
        </w:numPr>
      </w:pPr>
      <w:r>
        <w:rPr>
          <w:b/>
        </w:rPr>
        <w:t>Traços numéricos</w:t>
      </w:r>
      <w:r>
        <w:t xml:space="preserve"> → média ponderada pela abundância (ex.: pH ótimo de crescimento, salinidade ótima, temperatura ótima).</w:t>
      </w:r>
    </w:p>
    <w:p w14:paraId="06638360" w14:textId="77777777" w:rsidR="000D4CE3" w:rsidRDefault="00000000">
      <w:pPr>
        <w:pStyle w:val="FirstParagraph"/>
      </w:pPr>
      <w:r>
        <w:t xml:space="preserve">Um </w:t>
      </w:r>
      <w:r>
        <w:rPr>
          <w:b/>
        </w:rPr>
        <w:t>invariante de consistência</w:t>
      </w:r>
      <w:r>
        <w:t xml:space="preserve"> é usado como teste de regressão: para cada traço discreto, as categorias somam a totalidade da abundância da comunidade.</w:t>
      </w:r>
    </w:p>
    <w:p w14:paraId="32B3A8B5" w14:textId="77777777" w:rsidR="000D4CE3" w:rsidRDefault="00000000">
      <w:pPr>
        <w:pStyle w:val="Ttulo2"/>
      </w:pPr>
      <w:bookmarkStart w:id="22" w:name="matriz-de-composição"/>
      <w:bookmarkStart w:id="23" w:name="_Toc233579609"/>
      <w:r>
        <w:lastRenderedPageBreak/>
        <w:t>3.3. Matriz de composição</w:t>
      </w:r>
      <w:bookmarkEnd w:id="22"/>
      <w:bookmarkEnd w:id="23"/>
    </w:p>
    <w:p w14:paraId="315BEF63" w14:textId="77777777" w:rsidR="000D4CE3" w:rsidRDefault="00000000">
      <w:pPr>
        <w:pStyle w:val="FirstParagraph"/>
      </w:pPr>
      <w:r>
        <w:t xml:space="preserve">A partir dos perfis normalizados de todas as amostras válidas, é consolidada uma </w:t>
      </w:r>
      <w:r>
        <w:rPr>
          <w:b/>
        </w:rPr>
        <w:t>matriz de composição</w:t>
      </w:r>
      <w:r>
        <w:t xml:space="preserve"> (géneros × amostras) de abundâncias relativas. Esta matriz é o espaço onde se mede a semelhança entre amostras.</w:t>
      </w:r>
    </w:p>
    <w:p w14:paraId="2EFB7551" w14:textId="77777777" w:rsidR="000D4CE3" w:rsidRDefault="00000000">
      <w:pPr>
        <w:pStyle w:val="Ttulo2"/>
      </w:pPr>
      <w:bookmarkStart w:id="24" w:name="diversidade-beta-e-ordenação"/>
      <w:bookmarkStart w:id="25" w:name="_Toc233579610"/>
      <w:r>
        <w:t>3.4. Diversidade beta e ordenação</w:t>
      </w:r>
      <w:bookmarkEnd w:id="24"/>
      <w:bookmarkEnd w:id="25"/>
    </w:p>
    <w:p w14:paraId="7FD081C8" w14:textId="77777777" w:rsidR="000D4CE3" w:rsidRDefault="00000000">
      <w:pPr>
        <w:pStyle w:val="FirstParagraph"/>
      </w:pPr>
      <w:r>
        <w:t xml:space="preserve">A proximidade entre amostras é quantificada por </w:t>
      </w:r>
      <w:r>
        <w:rPr>
          <w:b/>
        </w:rPr>
        <w:t>distância de Bray-Curtis</w:t>
      </w:r>
      <w:r>
        <w:t xml:space="preserve"> sobre a composição taxonómica. O conjunto de distâncias é resumido por </w:t>
      </w:r>
      <w:r>
        <w:rPr>
          <w:b/>
        </w:rPr>
        <w:t>Análise de Coordenadas Principais (PCoA)</w:t>
      </w:r>
      <w:r>
        <w:t>, que projeta as amostras num espaço de baixa dimensão para visualização e posicionamento.</w:t>
      </w:r>
    </w:p>
    <w:p w14:paraId="7D0FE24B" w14:textId="77777777" w:rsidR="000D4CE3" w:rsidRDefault="00000000">
      <w:pPr>
        <w:pStyle w:val="Corpodetexto"/>
      </w:pPr>
      <w:r>
        <w:t xml:space="preserve">Para posicionar uma </w:t>
      </w:r>
      <w:r>
        <w:rPr>
          <w:b/>
        </w:rPr>
        <w:t>amostra nova</w:t>
      </w:r>
      <w:r>
        <w:t xml:space="preserve"> no mesmo espaço sem recalcular toda a ordenação, foi implementada uma </w:t>
      </w:r>
      <w:r>
        <w:rPr>
          <w:b/>
        </w:rPr>
        <w:t>projeção fora-da-amostra</w:t>
      </w:r>
      <w:r>
        <w:t xml:space="preserve"> (fórmula de Gower). Esta projeção utiliza as distâncias da amostra nova a </w:t>
      </w:r>
      <w:r>
        <w:rPr>
          <w:b/>
        </w:rPr>
        <w:t>toda</w:t>
      </w:r>
      <w:r>
        <w:t xml:space="preserve"> a coleção de referência, garantindo um posicionamento geométrico fiel — incluindo a deteção de amostras atípicas — independente do número de vizinhos considerados na inferência do perfil.</w:t>
      </w:r>
    </w:p>
    <w:p w14:paraId="65695533" w14:textId="77777777" w:rsidR="000D4CE3" w:rsidRDefault="00000000">
      <w:pPr>
        <w:pStyle w:val="Ttulo2"/>
      </w:pPr>
      <w:bookmarkStart w:id="26" w:name="Xb2c2a1adc0d87ca7a2dae75860fdc0b2520ae4c"/>
      <w:bookmarkStart w:id="27" w:name="_Toc233579611"/>
      <w:r>
        <w:t>3.5. Comparação e inferência do perfil funcional</w:t>
      </w:r>
      <w:bookmarkEnd w:id="26"/>
      <w:bookmarkEnd w:id="27"/>
    </w:p>
    <w:p w14:paraId="14F66C68" w14:textId="77777777" w:rsidR="000D4CE3" w:rsidRDefault="00000000">
      <w:pPr>
        <w:pStyle w:val="FirstParagraph"/>
      </w:pPr>
      <w:r>
        <w:t>O mecanismo de inferência separa rigorosamente dois espaços:</w:t>
      </w:r>
    </w:p>
    <w:p w14:paraId="4CA99451" w14:textId="77777777" w:rsidR="000D4CE3" w:rsidRDefault="00000000">
      <w:pPr>
        <w:pStyle w:val="Compact"/>
        <w:numPr>
          <w:ilvl w:val="0"/>
          <w:numId w:val="7"/>
        </w:numPr>
      </w:pPr>
      <w:r>
        <w:rPr>
          <w:b/>
        </w:rPr>
        <w:t>Espaço de comparação — composição taxonómica.</w:t>
      </w:r>
      <w:r>
        <w:t xml:space="preserve"> A amostra nova é comparada às amostras de referência por distância de Bray-Curtis; identificam-se as amostras mais semelhantes.</w:t>
      </w:r>
    </w:p>
    <w:p w14:paraId="20ABCCA8" w14:textId="77777777" w:rsidR="000D4CE3" w:rsidRDefault="00000000">
      <w:pPr>
        <w:pStyle w:val="Compact"/>
        <w:numPr>
          <w:ilvl w:val="0"/>
          <w:numId w:val="7"/>
        </w:numPr>
      </w:pPr>
      <w:r>
        <w:rPr>
          <w:b/>
        </w:rPr>
        <w:t>Tabela de consulta — perfil funcional.</w:t>
      </w:r>
      <w:r>
        <w:t xml:space="preserve"> Os traços das amostras de referência mais semelhantes são </w:t>
      </w:r>
      <w:r>
        <w:rPr>
          <w:b/>
        </w:rPr>
        <w:t>importados</w:t>
      </w:r>
      <w:r>
        <w:t xml:space="preserve"> para a amostra nova, constituindo o seu perfil funcional inferido.</w:t>
      </w:r>
    </w:p>
    <w:p w14:paraId="79D70BB7" w14:textId="77777777" w:rsidR="000D4CE3" w:rsidRDefault="00000000" w:rsidP="0006706C">
      <w:pPr>
        <w:pStyle w:val="FirstParagraph"/>
        <w:jc w:val="both"/>
      </w:pPr>
      <w:r>
        <w:t xml:space="preserve">Os traços </w:t>
      </w:r>
      <w:r>
        <w:rPr>
          <w:b/>
        </w:rPr>
        <w:t>nunca</w:t>
      </w:r>
      <w:r>
        <w:t xml:space="preserve"> entram no cálculo da semelhança. Esta separação é uma garantia metodológica: a leitura funcional é uma consequência da proximidade composicional, não um fator circular dessa proximidade. O utilizador pode optar por importar o perfil da amostra mais semelhante ou combinar várias amostras de referência por média ponderada pela semelhança.</w:t>
      </w:r>
    </w:p>
    <w:p w14:paraId="49E95EA5" w14:textId="77777777" w:rsidR="000D4CE3" w:rsidRDefault="00000000">
      <w:pPr>
        <w:pStyle w:val="Ttulo1"/>
      </w:pPr>
      <w:bookmarkStart w:id="28" w:name="camada-interpretativa"/>
      <w:bookmarkStart w:id="29" w:name="_Toc233579612"/>
      <w:r>
        <w:t>4. Camada interpretativa</w:t>
      </w:r>
      <w:bookmarkEnd w:id="28"/>
      <w:bookmarkEnd w:id="29"/>
    </w:p>
    <w:p w14:paraId="18E0C0D4" w14:textId="77777777" w:rsidR="000D4CE3" w:rsidRDefault="00000000">
      <w:pPr>
        <w:pStyle w:val="FirstParagraph"/>
      </w:pPr>
      <w:r>
        <w:t>A camada interpretativa transforma o perfil funcional técnico numa leitura legível, dirigida simultaneamente ao produtor e ao técnico (registo em camadas: linguagem corrente com o termo técnico em detalhe).</w:t>
      </w:r>
    </w:p>
    <w:p w14:paraId="0152332D" w14:textId="77777777" w:rsidR="000D4CE3" w:rsidRDefault="00000000">
      <w:pPr>
        <w:pStyle w:val="Ttulo2"/>
      </w:pPr>
      <w:bookmarkStart w:id="30" w:name="princípios"/>
      <w:bookmarkStart w:id="31" w:name="_Toc233579613"/>
      <w:r>
        <w:t>4.1. Princípios</w:t>
      </w:r>
      <w:bookmarkEnd w:id="30"/>
      <w:bookmarkEnd w:id="31"/>
    </w:p>
    <w:p w14:paraId="4981F4A1" w14:textId="77777777" w:rsidR="000D4CE3" w:rsidRDefault="00000000">
      <w:pPr>
        <w:pStyle w:val="Compact"/>
        <w:numPr>
          <w:ilvl w:val="0"/>
          <w:numId w:val="8"/>
        </w:numPr>
      </w:pPr>
      <w:r>
        <w:rPr>
          <w:b/>
        </w:rPr>
        <w:t>Natureza do dado.</w:t>
      </w:r>
      <w:r>
        <w:t xml:space="preserve"> Os indicadores representam </w:t>
      </w:r>
      <w:r>
        <w:rPr>
          <w:i/>
        </w:rPr>
        <w:t>potencial</w:t>
      </w:r>
      <w:r>
        <w:t xml:space="preserve"> funcional inferido da composição da comunidade — </w:t>
      </w:r>
      <w:r>
        <w:rPr>
          <w:b/>
        </w:rPr>
        <w:t>não</w:t>
      </w:r>
      <w:r>
        <w:t xml:space="preserve"> uma medição química ou de atividade do solo. Este enquadramento é apresentado de forma permanente e inequívoca.</w:t>
      </w:r>
    </w:p>
    <w:p w14:paraId="19928F92" w14:textId="77777777" w:rsidR="000D4CE3" w:rsidRDefault="00000000">
      <w:pPr>
        <w:pStyle w:val="Compact"/>
        <w:numPr>
          <w:ilvl w:val="0"/>
          <w:numId w:val="8"/>
        </w:numPr>
      </w:pPr>
      <w:r>
        <w:rPr>
          <w:b/>
        </w:rPr>
        <w:lastRenderedPageBreak/>
        <w:t>Leitura comparativa.</w:t>
      </w:r>
      <w:r>
        <w:t xml:space="preserve"> Os rótulos </w:t>
      </w:r>
      <w:r>
        <w:rPr>
          <w:i/>
        </w:rPr>
        <w:t>baixo / moderado / alto</w:t>
      </w:r>
      <w:r>
        <w:t xml:space="preserve"> são </w:t>
      </w:r>
      <w:r>
        <w:rPr>
          <w:b/>
        </w:rPr>
        <w:t>relativos à coleção de referência</w:t>
      </w:r>
      <w:r>
        <w:t xml:space="preserve"> (percentis calculados dinamicamente), não limiares absolutos. “Alto” significa acima do habitual em parcelas semelhantes.</w:t>
      </w:r>
    </w:p>
    <w:p w14:paraId="269A9321" w14:textId="77777777" w:rsidR="000D4CE3" w:rsidRDefault="00000000">
      <w:pPr>
        <w:pStyle w:val="Compact"/>
        <w:numPr>
          <w:ilvl w:val="0"/>
          <w:numId w:val="8"/>
        </w:numPr>
      </w:pPr>
      <w:r>
        <w:rPr>
          <w:b/>
        </w:rPr>
        <w:t>Descreve, não recomenda.</w:t>
      </w:r>
      <w:r>
        <w:t xml:space="preserve"> A ferramenta descreve o estado microbiano; não emite recomendações agronómicas nem linguagem prescritiva.</w:t>
      </w:r>
    </w:p>
    <w:p w14:paraId="130B3095" w14:textId="77777777" w:rsidR="000D4CE3" w:rsidRDefault="00000000">
      <w:pPr>
        <w:pStyle w:val="Compact"/>
        <w:numPr>
          <w:ilvl w:val="0"/>
          <w:numId w:val="8"/>
        </w:numPr>
      </w:pPr>
      <w:r>
        <w:rPr>
          <w:b/>
        </w:rPr>
        <w:t>Seleção criteriosa de traços.</w:t>
      </w:r>
      <w:r>
        <w:t xml:space="preserve"> De várias milhares de variáveis da base de referência, retêm-se apenas os traços com relevância agronómica reconhecida; os restantes são excluídos na fase de processamento.</w:t>
      </w:r>
    </w:p>
    <w:p w14:paraId="2F538492" w14:textId="77777777" w:rsidR="000D4CE3" w:rsidRDefault="00000000">
      <w:pPr>
        <w:pStyle w:val="Ttulo2"/>
      </w:pPr>
      <w:bookmarkStart w:id="32" w:name="estrutura-de-grupos-funcionais"/>
      <w:bookmarkStart w:id="33" w:name="_Toc233579614"/>
      <w:r>
        <w:t>4.2. Estrutura de grupos funcionais</w:t>
      </w:r>
      <w:bookmarkEnd w:id="32"/>
      <w:bookmarkEnd w:id="33"/>
    </w:p>
    <w:p w14:paraId="3211909C" w14:textId="77777777" w:rsidR="000D4CE3" w:rsidRDefault="00000000" w:rsidP="0006706C">
      <w:pPr>
        <w:pStyle w:val="FirstParagraph"/>
        <w:jc w:val="both"/>
      </w:pPr>
      <w:r>
        <w:t xml:space="preserve">Os traços são organizados em </w:t>
      </w:r>
      <w:r>
        <w:rPr>
          <w:b/>
        </w:rPr>
        <w:t>grupos funcionais</w:t>
      </w:r>
      <w:r>
        <w:t xml:space="preserve"> fundamentados na literatura de indicadores microbianos de saúde do solo, designadamente: ciclo do azoto (fixação, nitrificação, desnitrificação, amonificação), arejamento do solo, decomposição (matéria vegetal, proteica, compostos recalcitrantes e geral), ciclo do enxofre, metilotrofia/metanotrofia, redox de ferro e manganês, mobilização de fósforo, promoção de crescimento vegetal, fixação autotrófica de carbono, resistência a stress e agregação/estruturação do solo.</w:t>
      </w:r>
    </w:p>
    <w:p w14:paraId="66E573A8" w14:textId="77777777" w:rsidR="000D4CE3" w:rsidRDefault="00000000">
      <w:pPr>
        <w:pStyle w:val="Ttulo2"/>
      </w:pPr>
      <w:bookmarkStart w:id="34" w:name="réguas-relativas-e-escalas-absolutas"/>
      <w:bookmarkStart w:id="35" w:name="_Toc233579615"/>
      <w:r>
        <w:t>4.3. Réguas relativas e escalas absolutas</w:t>
      </w:r>
      <w:bookmarkEnd w:id="34"/>
      <w:bookmarkEnd w:id="35"/>
    </w:p>
    <w:p w14:paraId="0B92DCB6" w14:textId="77777777" w:rsidR="000D4CE3" w:rsidRDefault="00000000">
      <w:pPr>
        <w:pStyle w:val="FirstParagraph"/>
      </w:pPr>
      <w:r>
        <w:t xml:space="preserve">A maioria dos grupos usa </w:t>
      </w:r>
      <w:r>
        <w:rPr>
          <w:b/>
        </w:rPr>
        <w:t>régua relativa</w:t>
      </w:r>
      <w:r>
        <w:t xml:space="preserve"> (percentis da coleção). Os </w:t>
      </w:r>
      <w:r>
        <w:rPr>
          <w:b/>
        </w:rPr>
        <w:t>ótimos ambientais da comunidade</w:t>
      </w:r>
      <w:r>
        <w:t xml:space="preserve"> (pH, temperatura e salinidade) merecem tratamento distinto:</w:t>
      </w:r>
    </w:p>
    <w:p w14:paraId="1C29DC14" w14:textId="77777777" w:rsidR="000D4CE3" w:rsidRDefault="00000000">
      <w:pPr>
        <w:pStyle w:val="Compact"/>
        <w:numPr>
          <w:ilvl w:val="0"/>
          <w:numId w:val="9"/>
        </w:numPr>
      </w:pPr>
      <w:r>
        <w:rPr>
          <w:b/>
        </w:rPr>
        <w:t>pH e temperatura</w:t>
      </w:r>
      <w:r>
        <w:t xml:space="preserve"> usam </w:t>
      </w:r>
      <w:r>
        <w:rPr>
          <w:b/>
        </w:rPr>
        <w:t>escalas absolutas</w:t>
      </w:r>
      <w:r>
        <w:t xml:space="preserve"> de significado universal (escala de pH; classes microbiológicas de temperatura), por serem robustas e interpretáveis isoladamente.</w:t>
      </w:r>
    </w:p>
    <w:p w14:paraId="0CECBA52" w14:textId="77777777" w:rsidR="000D4CE3" w:rsidRDefault="00000000">
      <w:pPr>
        <w:pStyle w:val="Compact"/>
        <w:numPr>
          <w:ilvl w:val="0"/>
          <w:numId w:val="9"/>
        </w:numPr>
      </w:pPr>
      <w:r>
        <w:rPr>
          <w:b/>
        </w:rPr>
        <w:t>Salinidade</w:t>
      </w:r>
      <w:r>
        <w:t xml:space="preserve"> é apresentada com </w:t>
      </w:r>
      <w:r>
        <w:rPr>
          <w:b/>
        </w:rPr>
        <w:t>régua relativa</w:t>
      </w:r>
      <w:r>
        <w:t xml:space="preserve"> à coleção, mantendo embora visível o </w:t>
      </w:r>
      <w:r>
        <w:rPr>
          <w:b/>
        </w:rPr>
        <w:t>valor absoluto</w:t>
      </w:r>
      <w:r>
        <w:t xml:space="preserve"> (em % NaCl), por se ter verificado que a escala absoluta de halofilia não discrimina adequadamente solos de vinha (todos pouco salinos).</w:t>
      </w:r>
    </w:p>
    <w:p w14:paraId="70B4811A" w14:textId="77777777" w:rsidR="000D4CE3" w:rsidRDefault="00000000">
      <w:pPr>
        <w:pStyle w:val="Ttulo2"/>
      </w:pPr>
      <w:bookmarkStart w:id="36" w:name="exemplos-de-leitura"/>
      <w:bookmarkStart w:id="37" w:name="_Toc233579616"/>
      <w:r>
        <w:t>4.4. Exemplos de leitura</w:t>
      </w:r>
      <w:bookmarkEnd w:id="36"/>
      <w:bookmarkEnd w:id="37"/>
    </w:p>
    <w:p w14:paraId="57C9ADD1" w14:textId="77777777" w:rsidR="000D4CE3" w:rsidRDefault="00000000" w:rsidP="0006706C">
      <w:pPr>
        <w:pStyle w:val="FirstParagraph"/>
        <w:jc w:val="both"/>
      </w:pPr>
      <w:r>
        <w:t>O enquadramento permanente apresentado ao utilizador é:</w:t>
      </w:r>
    </w:p>
    <w:p w14:paraId="6F1E1000" w14:textId="77777777" w:rsidR="000D4CE3" w:rsidRDefault="00000000" w:rsidP="0006706C">
      <w:pPr>
        <w:pStyle w:val="Textodebloco"/>
        <w:jc w:val="both"/>
      </w:pPr>
      <w:r>
        <w:rPr>
          <w:i/>
        </w:rPr>
        <w:t>Indicadores do potencial microbiano do solo, inferidos da composição da comunidade. Leitura comparativa, não medição.</w:t>
      </w:r>
    </w:p>
    <w:p w14:paraId="6F58D179" w14:textId="77777777" w:rsidR="000D4CE3" w:rsidRDefault="00000000" w:rsidP="0006706C">
      <w:pPr>
        <w:pStyle w:val="FirstParagraph"/>
        <w:jc w:val="both"/>
      </w:pPr>
      <w:r>
        <w:t>A linguagem é simultaneamente acessível e técnica: a frase corrente integra o termo especializado, dispensando um seletor de modo. Exemplos efetivos de frases de síntese (parametrizadas pelo nível relativo à coleção):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2197"/>
        <w:gridCol w:w="790"/>
        <w:gridCol w:w="5851"/>
      </w:tblGrid>
      <w:tr w:rsidR="000D4CE3" w14:paraId="230FEC5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D690A5D" w14:textId="77777777" w:rsidR="000D4CE3" w:rsidRDefault="00000000">
            <w:pPr>
              <w:pStyle w:val="Compact"/>
            </w:pPr>
            <w:r>
              <w:t>Grupo funcional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BF71EC" w14:textId="77777777" w:rsidR="000D4CE3" w:rsidRDefault="00000000">
            <w:pPr>
              <w:pStyle w:val="Compact"/>
            </w:pPr>
            <w:r>
              <w:t>Nível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8821FEF" w14:textId="77777777" w:rsidR="000D4CE3" w:rsidRDefault="00000000">
            <w:pPr>
              <w:pStyle w:val="Compact"/>
            </w:pPr>
            <w:r>
              <w:t>Frase apresentada</w:t>
            </w:r>
          </w:p>
        </w:tc>
      </w:tr>
      <w:tr w:rsidR="000D4CE3" w14:paraId="2069C619" w14:textId="77777777">
        <w:tc>
          <w:tcPr>
            <w:tcW w:w="0" w:type="auto"/>
          </w:tcPr>
          <w:p w14:paraId="34E9BDC3" w14:textId="77777777" w:rsidR="000D4CE3" w:rsidRDefault="00000000">
            <w:pPr>
              <w:pStyle w:val="Compact"/>
            </w:pPr>
            <w:r>
              <w:t>Fixação de azoto</w:t>
            </w:r>
          </w:p>
        </w:tc>
        <w:tc>
          <w:tcPr>
            <w:tcW w:w="0" w:type="auto"/>
          </w:tcPr>
          <w:p w14:paraId="0621AF9F" w14:textId="77777777" w:rsidR="000D4CE3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555B08B4" w14:textId="77777777" w:rsidR="000D4CE3" w:rsidRDefault="00000000">
            <w:pPr>
              <w:pStyle w:val="Compact"/>
            </w:pPr>
            <w:r>
              <w:t>“Mais microrganismos do que o habitual capazes de captar azoto do ar (potencial de fixação de azoto elevado).”</w:t>
            </w:r>
          </w:p>
        </w:tc>
      </w:tr>
      <w:tr w:rsidR="000D4CE3" w14:paraId="6EF4E35E" w14:textId="77777777">
        <w:tc>
          <w:tcPr>
            <w:tcW w:w="0" w:type="auto"/>
          </w:tcPr>
          <w:p w14:paraId="14E1655B" w14:textId="77777777" w:rsidR="000D4CE3" w:rsidRDefault="00000000">
            <w:pPr>
              <w:pStyle w:val="Compact"/>
            </w:pPr>
            <w:r>
              <w:lastRenderedPageBreak/>
              <w:t>Mobilização de fósforo</w:t>
            </w:r>
          </w:p>
        </w:tc>
        <w:tc>
          <w:tcPr>
            <w:tcW w:w="0" w:type="auto"/>
          </w:tcPr>
          <w:p w14:paraId="25FA1759" w14:textId="77777777" w:rsidR="000D4CE3" w:rsidRDefault="00000000">
            <w:pPr>
              <w:pStyle w:val="Compact"/>
            </w:pPr>
            <w:r>
              <w:t>Alto</w:t>
            </w:r>
          </w:p>
        </w:tc>
        <w:tc>
          <w:tcPr>
            <w:tcW w:w="0" w:type="auto"/>
          </w:tcPr>
          <w:p w14:paraId="065E6928" w14:textId="77777777" w:rsidR="000D4CE3" w:rsidRDefault="00000000">
            <w:pPr>
              <w:pStyle w:val="Compact"/>
            </w:pPr>
            <w:r>
              <w:t>“Capacidade de disponibilizar fósforo acima do habitual — mineralização ativa de fósforo do solo.”</w:t>
            </w:r>
          </w:p>
        </w:tc>
      </w:tr>
      <w:tr w:rsidR="000D4CE3" w14:paraId="7DEADF1A" w14:textId="77777777">
        <w:tc>
          <w:tcPr>
            <w:tcW w:w="0" w:type="auto"/>
          </w:tcPr>
          <w:p w14:paraId="43C3840F" w14:textId="77777777" w:rsidR="000D4CE3" w:rsidRDefault="00000000">
            <w:pPr>
              <w:pStyle w:val="Compact"/>
            </w:pPr>
            <w:r>
              <w:t>Arejamento do solo</w:t>
            </w:r>
          </w:p>
        </w:tc>
        <w:tc>
          <w:tcPr>
            <w:tcW w:w="0" w:type="auto"/>
          </w:tcPr>
          <w:p w14:paraId="3EAE177B" w14:textId="77777777" w:rsidR="000D4CE3" w:rsidRDefault="00000000">
            <w:pPr>
              <w:pStyle w:val="Compact"/>
            </w:pPr>
            <w:r>
              <w:t>Baixo</w:t>
            </w:r>
          </w:p>
        </w:tc>
        <w:tc>
          <w:tcPr>
            <w:tcW w:w="0" w:type="auto"/>
          </w:tcPr>
          <w:p w14:paraId="37C78FF8" w14:textId="77777777" w:rsidR="000D4CE3" w:rsidRDefault="00000000">
            <w:pPr>
              <w:pStyle w:val="Compact"/>
            </w:pPr>
            <w:r>
              <w:t>“Circulação de ar abaixo do habitual — compatível com solo mais compactado ou húmido.”</w:t>
            </w:r>
          </w:p>
        </w:tc>
      </w:tr>
      <w:tr w:rsidR="000D4CE3" w14:paraId="7816897A" w14:textId="77777777">
        <w:tc>
          <w:tcPr>
            <w:tcW w:w="0" w:type="auto"/>
          </w:tcPr>
          <w:p w14:paraId="367DE99F" w14:textId="77777777" w:rsidR="000D4CE3" w:rsidRDefault="00000000">
            <w:pPr>
              <w:pStyle w:val="Compact"/>
            </w:pPr>
            <w:r>
              <w:t>Decomposição — fibra vegetal</w:t>
            </w:r>
          </w:p>
        </w:tc>
        <w:tc>
          <w:tcPr>
            <w:tcW w:w="0" w:type="auto"/>
          </w:tcPr>
          <w:p w14:paraId="1778584C" w14:textId="77777777" w:rsidR="000D4CE3" w:rsidRDefault="00000000">
            <w:pPr>
              <w:pStyle w:val="Compact"/>
            </w:pPr>
            <w:r>
              <w:t>Baixo</w:t>
            </w:r>
          </w:p>
        </w:tc>
        <w:tc>
          <w:tcPr>
            <w:tcW w:w="0" w:type="auto"/>
          </w:tcPr>
          <w:p w14:paraId="7EE025C9" w14:textId="77777777" w:rsidR="000D4CE3" w:rsidRDefault="00000000">
            <w:pPr>
              <w:pStyle w:val="Compact"/>
            </w:pPr>
            <w:r>
              <w:t>“Capacidade de decompor fibra vegetal abaixo do habitual.” (com nota: processo realizado sobretudo por fungos, não captados por este método).</w:t>
            </w:r>
          </w:p>
        </w:tc>
      </w:tr>
    </w:tbl>
    <w:p w14:paraId="13A4F819" w14:textId="77777777" w:rsidR="000D4CE3" w:rsidRDefault="00000000">
      <w:pPr>
        <w:pStyle w:val="Corpodetexto"/>
      </w:pPr>
      <w:r>
        <w:t>Cada grupo dispõe de três variantes (baixo / moderado / alto), selecionadas em função do percentil da amostra face à coleção de referência.</w:t>
      </w:r>
    </w:p>
    <w:p w14:paraId="3ACE846A" w14:textId="77777777" w:rsidR="000D4CE3" w:rsidRDefault="00000000">
      <w:pPr>
        <w:pStyle w:val="Ttulo1"/>
      </w:pPr>
      <w:bookmarkStart w:id="38" w:name="plataforma-entregável"/>
      <w:bookmarkStart w:id="39" w:name="_Toc233579617"/>
      <w:r>
        <w:t>5. Plataforma (entregável)</w:t>
      </w:r>
      <w:bookmarkEnd w:id="38"/>
      <w:bookmarkEnd w:id="39"/>
    </w:p>
    <w:p w14:paraId="1FBAAC3A" w14:textId="77777777" w:rsidR="000D4CE3" w:rsidRDefault="00000000">
      <w:pPr>
        <w:pStyle w:val="Ttulo2"/>
      </w:pPr>
      <w:bookmarkStart w:id="40" w:name="descrição-funcional"/>
      <w:bookmarkStart w:id="41" w:name="_Toc233579618"/>
      <w:r>
        <w:t>5.1. Descrição funcional</w:t>
      </w:r>
      <w:bookmarkEnd w:id="40"/>
      <w:bookmarkEnd w:id="41"/>
    </w:p>
    <w:p w14:paraId="576DFF1E" w14:textId="77777777" w:rsidR="000D4CE3" w:rsidRDefault="00000000" w:rsidP="0006706C">
      <w:pPr>
        <w:pStyle w:val="FirstParagraph"/>
        <w:jc w:val="both"/>
      </w:pPr>
      <w:r>
        <w:t xml:space="preserve">A plataforma é uma </w:t>
      </w:r>
      <w:r>
        <w:rPr>
          <w:b/>
        </w:rPr>
        <w:t>aplicação web de página única</w:t>
      </w:r>
      <w:r>
        <w:t>, sem necessidade de servidor ou de base de dados em tempo de execução: todos os dados de referência são pré-calculados e embebidos como ficheiros estáticos. O fluxo de utilização é:</w:t>
      </w:r>
    </w:p>
    <w:p w14:paraId="31E0F7C4" w14:textId="77777777" w:rsidR="000D4CE3" w:rsidRDefault="00000000" w:rsidP="0006706C">
      <w:pPr>
        <w:pStyle w:val="Compact"/>
        <w:numPr>
          <w:ilvl w:val="0"/>
          <w:numId w:val="10"/>
        </w:numPr>
        <w:jc w:val="both"/>
      </w:pPr>
      <w:r>
        <w:t>O utilizador carrega um relatório de sequenciação (Bracken) de uma amostra nova — ou aciona uma amostra de exemplo.</w:t>
      </w:r>
    </w:p>
    <w:p w14:paraId="1E8DFA30" w14:textId="77777777" w:rsidR="000D4CE3" w:rsidRDefault="00000000" w:rsidP="0006706C">
      <w:pPr>
        <w:pStyle w:val="Compact"/>
        <w:numPr>
          <w:ilvl w:val="0"/>
          <w:numId w:val="10"/>
        </w:numPr>
        <w:jc w:val="both"/>
      </w:pPr>
      <w:r>
        <w:t>A amostra é comparada à coleção de referência; identificam-se as amostras mais semelhantes.</w:t>
      </w:r>
    </w:p>
    <w:p w14:paraId="47C3D110" w14:textId="77777777" w:rsidR="000D4CE3" w:rsidRDefault="00000000" w:rsidP="0006706C">
      <w:pPr>
        <w:pStyle w:val="Compact"/>
        <w:numPr>
          <w:ilvl w:val="0"/>
          <w:numId w:val="10"/>
        </w:numPr>
        <w:jc w:val="both"/>
      </w:pPr>
      <w:r>
        <w:t>Importa-se o perfil funcional e apresenta-se:</w:t>
      </w:r>
    </w:p>
    <w:p w14:paraId="3E38338C" w14:textId="77777777" w:rsidR="000D4CE3" w:rsidRDefault="00000000" w:rsidP="0006706C">
      <w:pPr>
        <w:pStyle w:val="Compact"/>
        <w:numPr>
          <w:ilvl w:val="1"/>
          <w:numId w:val="11"/>
        </w:numPr>
        <w:jc w:val="both"/>
      </w:pPr>
      <w:r>
        <w:t xml:space="preserve">um </w:t>
      </w:r>
      <w:r>
        <w:rPr>
          <w:b/>
        </w:rPr>
        <w:t>resumo</w:t>
      </w:r>
      <w:r>
        <w:t xml:space="preserve"> de indicadores-chave (géneros detetados, diversidade da comunidade, indicadores funcionais, ótimos ambientais);</w:t>
      </w:r>
    </w:p>
    <w:p w14:paraId="0D1E4872" w14:textId="77777777" w:rsidR="000D4CE3" w:rsidRDefault="00000000" w:rsidP="0006706C">
      <w:pPr>
        <w:pStyle w:val="Compact"/>
        <w:numPr>
          <w:ilvl w:val="1"/>
          <w:numId w:val="11"/>
        </w:numPr>
        <w:jc w:val="both"/>
      </w:pPr>
      <w:r>
        <w:t xml:space="preserve">a </w:t>
      </w:r>
      <w:r>
        <w:rPr>
          <w:b/>
        </w:rPr>
        <w:t>leitura interpretativa por grupos</w:t>
      </w:r>
      <w:r>
        <w:t>, com frases parametrizadas pelo nível relativo;</w:t>
      </w:r>
    </w:p>
    <w:p w14:paraId="5DCDF4EF" w14:textId="77777777" w:rsidR="000D4CE3" w:rsidRDefault="00000000" w:rsidP="0006706C">
      <w:pPr>
        <w:pStyle w:val="Compact"/>
        <w:numPr>
          <w:ilvl w:val="1"/>
          <w:numId w:val="11"/>
        </w:numPr>
        <w:jc w:val="both"/>
      </w:pPr>
      <w:r>
        <w:rPr>
          <w:b/>
        </w:rPr>
        <w:t>tabelas técnicas</w:t>
      </w:r>
      <w:r>
        <w:t xml:space="preserve"> detalhadas (traços funcionais e ótimos ambientais);</w:t>
      </w:r>
    </w:p>
    <w:p w14:paraId="413A6584" w14:textId="77777777" w:rsidR="000D4CE3" w:rsidRDefault="00000000" w:rsidP="0006706C">
      <w:pPr>
        <w:pStyle w:val="Compact"/>
        <w:numPr>
          <w:ilvl w:val="1"/>
          <w:numId w:val="11"/>
        </w:numPr>
        <w:jc w:val="both"/>
      </w:pPr>
      <w:r>
        <w:t xml:space="preserve">um </w:t>
      </w:r>
      <w:r>
        <w:rPr>
          <w:b/>
        </w:rPr>
        <w:t>gráfico de ordenação</w:t>
      </w:r>
      <w:r>
        <w:t xml:space="preserve"> (PCoA) com a posição da amostra nova e a tabela das amostras de referência mais próximas.</w:t>
      </w:r>
    </w:p>
    <w:p w14:paraId="785559FB" w14:textId="77777777" w:rsidR="000D4CE3" w:rsidRDefault="00000000" w:rsidP="0006706C">
      <w:pPr>
        <w:pStyle w:val="Compact"/>
        <w:numPr>
          <w:ilvl w:val="0"/>
          <w:numId w:val="10"/>
        </w:numPr>
        <w:jc w:val="both"/>
      </w:pPr>
      <w:r>
        <w:t xml:space="preserve">O resultado pode ser </w:t>
      </w:r>
      <w:r>
        <w:rPr>
          <w:b/>
        </w:rPr>
        <w:t>exportado em PDF</w:t>
      </w:r>
      <w:r>
        <w:t>.</w:t>
      </w:r>
    </w:p>
    <w:p w14:paraId="7D69FB00" w14:textId="77777777" w:rsidR="000D4CE3" w:rsidRDefault="00000000" w:rsidP="0006706C">
      <w:pPr>
        <w:pStyle w:val="FirstParagraph"/>
        <w:jc w:val="both"/>
      </w:pPr>
      <w:r>
        <w:t xml:space="preserve">A interface está integralmente em </w:t>
      </w:r>
      <w:r>
        <w:rPr>
          <w:b/>
        </w:rPr>
        <w:t>português de Portugal</w:t>
      </w:r>
      <w:r>
        <w:t xml:space="preserve"> e foi concebida para ser </w:t>
      </w:r>
      <w:r>
        <w:rPr>
          <w:b/>
        </w:rPr>
        <w:t>publicável</w:t>
      </w:r>
      <w:r>
        <w:t xml:space="preserve"> em serviços de alojamento estático (ex.: GitHub Pages, Netlify), servindo de evidência demonstrável.</w:t>
      </w:r>
    </w:p>
    <w:p w14:paraId="65CF22E9" w14:textId="77777777" w:rsidR="000D4CE3" w:rsidRDefault="00000000">
      <w:pPr>
        <w:pStyle w:val="Ttulo2"/>
      </w:pPr>
      <w:bookmarkStart w:id="42" w:name="características-técnicas"/>
      <w:bookmarkStart w:id="43" w:name="_Toc233579619"/>
      <w:r>
        <w:t>5.2. Características técnicas</w:t>
      </w:r>
      <w:bookmarkEnd w:id="42"/>
      <w:bookmarkEnd w:id="43"/>
    </w:p>
    <w:p w14:paraId="567B44D9" w14:textId="77777777" w:rsidR="000D4CE3" w:rsidRDefault="00000000">
      <w:pPr>
        <w:pStyle w:val="Compact"/>
        <w:numPr>
          <w:ilvl w:val="0"/>
          <w:numId w:val="12"/>
        </w:numPr>
      </w:pPr>
      <w:r>
        <w:t xml:space="preserve">Arquitetura </w:t>
      </w:r>
      <w:r>
        <w:rPr>
          <w:b/>
        </w:rPr>
        <w:t>estática</w:t>
      </w:r>
      <w:r>
        <w:t xml:space="preserve"> (HTML/CSS/JavaScript), sem dependências de backend.</w:t>
      </w:r>
    </w:p>
    <w:p w14:paraId="520D0A81" w14:textId="77777777" w:rsidR="000D4CE3" w:rsidRDefault="00000000">
      <w:pPr>
        <w:pStyle w:val="Compact"/>
        <w:numPr>
          <w:ilvl w:val="0"/>
          <w:numId w:val="12"/>
        </w:numPr>
      </w:pPr>
      <w:r>
        <w:t xml:space="preserve">Cálculos de comparação, projeção e classificação executados </w:t>
      </w:r>
      <w:r>
        <w:rPr>
          <w:b/>
        </w:rPr>
        <w:t>no navegador</w:t>
      </w:r>
      <w:r>
        <w:t>.</w:t>
      </w:r>
    </w:p>
    <w:p w14:paraId="5958D040" w14:textId="77777777" w:rsidR="000D4CE3" w:rsidRDefault="00000000">
      <w:pPr>
        <w:pStyle w:val="Compact"/>
        <w:numPr>
          <w:ilvl w:val="0"/>
          <w:numId w:val="12"/>
        </w:numPr>
      </w:pPr>
      <w:r>
        <w:t>Dados de referência gerados pelo pipeline e versionados com a aplicação.</w:t>
      </w:r>
    </w:p>
    <w:p w14:paraId="3F3A1BD7" w14:textId="77777777" w:rsidR="000D4CE3" w:rsidRDefault="00000000">
      <w:pPr>
        <w:pStyle w:val="Compact"/>
        <w:numPr>
          <w:ilvl w:val="0"/>
          <w:numId w:val="12"/>
        </w:numPr>
      </w:pPr>
      <w:r>
        <w:t xml:space="preserve">Concebida para </w:t>
      </w:r>
      <w:r>
        <w:rPr>
          <w:b/>
        </w:rPr>
        <w:t>portabilidade</w:t>
      </w:r>
      <w:r>
        <w:t xml:space="preserve"> e </w:t>
      </w:r>
      <w:r>
        <w:rPr>
          <w:b/>
        </w:rPr>
        <w:t>reprodutibilidade</w:t>
      </w:r>
      <w:r>
        <w:t xml:space="preserve"> (sem estado externo).</w:t>
      </w:r>
    </w:p>
    <w:p w14:paraId="334AD2DC" w14:textId="77777777" w:rsidR="000D4CE3" w:rsidRDefault="00000000">
      <w:pPr>
        <w:pStyle w:val="Ttulo1"/>
      </w:pPr>
      <w:bookmarkStart w:id="44" w:name="validação-e-controlo-de-qualidade"/>
      <w:bookmarkStart w:id="45" w:name="_Toc233579620"/>
      <w:r>
        <w:lastRenderedPageBreak/>
        <w:t>6. Validação e controlo de qualidade</w:t>
      </w:r>
      <w:bookmarkEnd w:id="44"/>
      <w:bookmarkEnd w:id="45"/>
    </w:p>
    <w:p w14:paraId="58880DE6" w14:textId="77777777" w:rsidR="000D4CE3" w:rsidRDefault="00000000" w:rsidP="0006706C">
      <w:pPr>
        <w:pStyle w:val="FirstParagraph"/>
        <w:jc w:val="both"/>
      </w:pPr>
      <w:r>
        <w:t>O sistema foi sujeito a verificações em vários pontos do pipeline:</w:t>
      </w:r>
    </w:p>
    <w:p w14:paraId="768A116F" w14:textId="77777777" w:rsidR="000D4CE3" w:rsidRDefault="00000000" w:rsidP="0006706C">
      <w:pPr>
        <w:pStyle w:val="Compact"/>
        <w:numPr>
          <w:ilvl w:val="0"/>
          <w:numId w:val="13"/>
        </w:numPr>
        <w:jc w:val="both"/>
      </w:pPr>
      <w:r>
        <w:rPr>
          <w:b/>
        </w:rPr>
        <w:t>Anotação de traços.</w:t>
      </w:r>
      <w:r>
        <w:t xml:space="preserve"> O invariante de consistência (soma das categorias = 1 por traço discreto) é verificado como teste de regressão.</w:t>
      </w:r>
    </w:p>
    <w:p w14:paraId="29CBCA35" w14:textId="77777777" w:rsidR="000D4CE3" w:rsidRDefault="00000000" w:rsidP="0006706C">
      <w:pPr>
        <w:pStyle w:val="Compact"/>
        <w:numPr>
          <w:ilvl w:val="0"/>
          <w:numId w:val="13"/>
        </w:numPr>
        <w:jc w:val="both"/>
      </w:pPr>
      <w:r>
        <w:rPr>
          <w:b/>
        </w:rPr>
        <w:t>Projeção de amostra nova.</w:t>
      </w:r>
      <w:r>
        <w:t xml:space="preserve"> A projeção fora-da-amostra foi validada reproduzindo as coordenadas de referência de amostras conhecidas, com erro numérico desprezável. Uma amostra idêntica a uma da coleção projeta-se sobre a sua posição esperada.</w:t>
      </w:r>
    </w:p>
    <w:p w14:paraId="0A1928E7" w14:textId="77777777" w:rsidR="000D4CE3" w:rsidRDefault="00000000" w:rsidP="0006706C">
      <w:pPr>
        <w:pStyle w:val="Compact"/>
        <w:numPr>
          <w:ilvl w:val="0"/>
          <w:numId w:val="13"/>
        </w:numPr>
        <w:jc w:val="both"/>
      </w:pPr>
      <w:r>
        <w:rPr>
          <w:b/>
        </w:rPr>
        <w:t>Cadeia ponta-a-ponta.</w:t>
      </w:r>
      <w:r>
        <w:t xml:space="preserve"> A amostra de exemplo foi processada por toda a cadeia (análise do relatório → vetor de composição → distâncias → projeção → perfil), confirmando coerência entre a amostra mais semelhante identificada e a sua posição na ordenação.</w:t>
      </w:r>
    </w:p>
    <w:p w14:paraId="0242CAA3" w14:textId="77777777" w:rsidR="000D4CE3" w:rsidRDefault="00000000" w:rsidP="0006706C">
      <w:pPr>
        <w:pStyle w:val="Compact"/>
        <w:numPr>
          <w:ilvl w:val="0"/>
          <w:numId w:val="13"/>
        </w:numPr>
        <w:jc w:val="both"/>
      </w:pPr>
      <w:r>
        <w:rPr>
          <w:b/>
        </w:rPr>
        <w:t>Régua relativa.</w:t>
      </w:r>
      <w:r>
        <w:t xml:space="preserve"> A classificação por percentis foi verificada quanto à distribuição esperada na coleção.</w:t>
      </w:r>
    </w:p>
    <w:p w14:paraId="576482D7" w14:textId="77777777" w:rsidR="000D4CE3" w:rsidRDefault="00000000" w:rsidP="0006706C">
      <w:pPr>
        <w:pStyle w:val="Compact"/>
        <w:numPr>
          <w:ilvl w:val="0"/>
          <w:numId w:val="13"/>
        </w:numPr>
        <w:jc w:val="both"/>
      </w:pPr>
      <w:r>
        <w:rPr>
          <w:b/>
        </w:rPr>
        <w:t>Controlo de qualidade da coleção.</w:t>
      </w:r>
      <w:r>
        <w:t xml:space="preserve"> As amostras degeneradas foram detetadas pelo critério objetivo (≤ 2 géneros) e excluídas. A sua remoção foi validada pelo efeito na ordenação: estas amostras formavam um aglomerado artificial que dominava o primeiro eixo da PCoA; após exclusão, a variância explicada por esse eixo desceu substancialmente, confirmando que se tratava de um artefacto técnico e não de variação biológica.</w:t>
      </w:r>
    </w:p>
    <w:p w14:paraId="45FC51B7" w14:textId="77777777" w:rsidR="000D4CE3" w:rsidRDefault="00000000" w:rsidP="0006706C">
      <w:pPr>
        <w:pStyle w:val="Compact"/>
        <w:numPr>
          <w:ilvl w:val="0"/>
          <w:numId w:val="13"/>
        </w:numPr>
        <w:jc w:val="both"/>
      </w:pPr>
      <w:r>
        <w:rPr>
          <w:b/>
        </w:rPr>
        <w:t>Revisão do pipeline.</w:t>
      </w:r>
      <w:r>
        <w:t xml:space="preserve"> A cadeia foi revista de ponta a ponta (código, consistência entre etapas, coerência da apresentação), confirmando o alinhamento de identificadores entre todos os artefactos e a reconciliação do conjunto de traços apresentados com as respetivas traduções.</w:t>
      </w:r>
    </w:p>
    <w:p w14:paraId="7BD7C1A1" w14:textId="77777777" w:rsidR="000D4CE3" w:rsidRDefault="00000000" w:rsidP="0006706C">
      <w:pPr>
        <w:pStyle w:val="Ttulo1"/>
        <w:jc w:val="both"/>
      </w:pPr>
      <w:bookmarkStart w:id="46" w:name="limitações-e-pressupostos"/>
      <w:bookmarkStart w:id="47" w:name="_Toc233579621"/>
      <w:r>
        <w:t>7. Limitações e pressupostos</w:t>
      </w:r>
      <w:bookmarkEnd w:id="46"/>
      <w:bookmarkEnd w:id="47"/>
    </w:p>
    <w:p w14:paraId="1F2C29C3" w14:textId="77777777" w:rsidR="000D4CE3" w:rsidRDefault="00000000" w:rsidP="0006706C">
      <w:pPr>
        <w:pStyle w:val="Compact"/>
        <w:numPr>
          <w:ilvl w:val="0"/>
          <w:numId w:val="14"/>
        </w:numPr>
        <w:jc w:val="both"/>
      </w:pPr>
      <w:r>
        <w:rPr>
          <w:b/>
        </w:rPr>
        <w:t>Resolução de género.</w:t>
      </w:r>
      <w:r>
        <w:t xml:space="preserve"> Os resultados refletem a resolução do 16S; funções associadas a táxones de maior resolução não são capturadas.</w:t>
      </w:r>
    </w:p>
    <w:p w14:paraId="7C4AE372" w14:textId="77777777" w:rsidR="000D4CE3" w:rsidRDefault="00000000" w:rsidP="0006706C">
      <w:pPr>
        <w:pStyle w:val="Compact"/>
        <w:numPr>
          <w:ilvl w:val="0"/>
          <w:numId w:val="14"/>
        </w:numPr>
        <w:jc w:val="both"/>
      </w:pPr>
      <w:r>
        <w:rPr>
          <w:b/>
        </w:rPr>
        <w:t>Funções tipicamente fúngicas.</w:t>
      </w:r>
      <w:r>
        <w:t xml:space="preserve"> Processos como a degradação de lenhina e celulose são realizados sobretudo por fungos, invisíveis a este método; um valor baixo nestes traços não significa ausência da função no solo.</w:t>
      </w:r>
    </w:p>
    <w:p w14:paraId="600482CD" w14:textId="77777777" w:rsidR="000D4CE3" w:rsidRDefault="00000000" w:rsidP="0006706C">
      <w:pPr>
        <w:pStyle w:val="Compact"/>
        <w:numPr>
          <w:ilvl w:val="0"/>
          <w:numId w:val="14"/>
        </w:numPr>
        <w:jc w:val="both"/>
      </w:pPr>
      <w:r>
        <w:rPr>
          <w:b/>
        </w:rPr>
        <w:t>Potencial vs. atividade.</w:t>
      </w:r>
      <w:r>
        <w:t xml:space="preserve"> Os indicadores são de </w:t>
      </w:r>
      <w:r>
        <w:rPr>
          <w:i/>
        </w:rPr>
        <w:t>potencial</w:t>
      </w:r>
      <w:r>
        <w:t xml:space="preserve"> inferido, não de atividade medida.</w:t>
      </w:r>
    </w:p>
    <w:p w14:paraId="281ACC04" w14:textId="77777777" w:rsidR="000D4CE3" w:rsidRDefault="00000000" w:rsidP="0006706C">
      <w:pPr>
        <w:pStyle w:val="Compact"/>
        <w:numPr>
          <w:ilvl w:val="0"/>
          <w:numId w:val="14"/>
        </w:numPr>
        <w:jc w:val="both"/>
      </w:pPr>
      <w:r>
        <w:rPr>
          <w:b/>
        </w:rPr>
        <w:t>Viés de cultivo nos ótimos ambientais.</w:t>
      </w:r>
      <w:r>
        <w:t xml:space="preserve"> Os valores de referência para pH, temperatura e salinidade ótimos de crescimento derivam em larga medida de estirpes </w:t>
      </w:r>
      <w:r>
        <w:rPr>
          <w:b/>
        </w:rPr>
        <w:t>isoladas e caracterizadas em laboratório</w:t>
      </w:r>
      <w:r>
        <w:t xml:space="preserve">. Este viés de cultivabilidade — uma fração da diversidade microbiana do solo não é cultivável e está sub-representada nessas referências — implica que os ótimos ambientais inferidos devem ser lidos como </w:t>
      </w:r>
      <w:r>
        <w:rPr>
          <w:b/>
        </w:rPr>
        <w:t>indicativos da fração caracterizável da comunidade</w:t>
      </w:r>
      <w:r>
        <w:t>, e não como uma medição do solo.</w:t>
      </w:r>
    </w:p>
    <w:p w14:paraId="27116B41" w14:textId="77777777" w:rsidR="000D4CE3" w:rsidRDefault="00000000" w:rsidP="0006706C">
      <w:pPr>
        <w:pStyle w:val="Compact"/>
        <w:numPr>
          <w:ilvl w:val="0"/>
          <w:numId w:val="14"/>
        </w:numPr>
        <w:jc w:val="both"/>
      </w:pPr>
      <w:r>
        <w:rPr>
          <w:b/>
        </w:rPr>
        <w:t>Régua dinâmica.</w:t>
      </w:r>
      <w:r>
        <w:t xml:space="preserve"> A leitura comparativa ganha robustez com o aumento do número de amostras de referência; com coleções reduzidas, a leitura é provisória.</w:t>
      </w:r>
    </w:p>
    <w:p w14:paraId="34F0EC47" w14:textId="77777777" w:rsidR="000D4CE3" w:rsidRDefault="00000000">
      <w:pPr>
        <w:pStyle w:val="Ttulo1"/>
      </w:pPr>
      <w:bookmarkStart w:id="48" w:name="conclusão"/>
      <w:bookmarkStart w:id="49" w:name="_Toc233579622"/>
      <w:r>
        <w:lastRenderedPageBreak/>
        <w:t>9. Conclusão</w:t>
      </w:r>
      <w:bookmarkEnd w:id="48"/>
      <w:bookmarkEnd w:id="49"/>
    </w:p>
    <w:p w14:paraId="19A52B8C" w14:textId="77777777" w:rsidR="000D4CE3" w:rsidRDefault="00000000" w:rsidP="0006706C">
      <w:pPr>
        <w:pStyle w:val="FirstParagraph"/>
        <w:jc w:val="both"/>
      </w:pPr>
      <w:r>
        <w:t>O trabalho realizado materializa um sistema completo e coerente que vai do dado bruto de sequenciação à leitura funcional interpretável, suportado por decisões metodológicas explícitas e auditáveis. A reprodução local do fluxo de anotação, a separação rigorosa entre comparação e interpretação, e o enquadramento prudente e não-prescritivo da camada de leitura constituem os pilares de qualidade do entregável. A plataforma resultante é autónoma, reprodutível e publicável, cumprindo o objetivo de servir simultaneamente como prova de conceito e como evidência do trabalho desenvolvido.</w:t>
      </w:r>
    </w:p>
    <w:p w14:paraId="102CEC31" w14:textId="77777777" w:rsidR="0006706C" w:rsidRDefault="000670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50" w:name="X1cd3ecc479c14a6a85c5a70b437e56e8f81f12d"/>
      <w:r>
        <w:br w:type="page"/>
      </w:r>
    </w:p>
    <w:p w14:paraId="708465D6" w14:textId="32D77EEC" w:rsidR="000D4CE3" w:rsidRDefault="00000000">
      <w:pPr>
        <w:pStyle w:val="Ttulo1"/>
      </w:pPr>
      <w:bookmarkStart w:id="51" w:name="_Toc233579623"/>
      <w:r>
        <w:lastRenderedPageBreak/>
        <w:t>Anexo A — Indicadores quantitativos do piloto</w:t>
      </w:r>
      <w:bookmarkEnd w:id="50"/>
      <w:bookmarkEnd w:id="51"/>
    </w:p>
    <w:p w14:paraId="2243A3A0" w14:textId="77777777" w:rsidR="000D4CE3" w:rsidRPr="0006706C" w:rsidRDefault="00000000" w:rsidP="0006706C">
      <w:pPr>
        <w:pStyle w:val="FirstParagraph"/>
        <w:jc w:val="both"/>
        <w:rPr>
          <w:iCs/>
          <w:sz w:val="22"/>
          <w:szCs w:val="22"/>
        </w:rPr>
      </w:pPr>
      <w:r w:rsidRPr="0006706C">
        <w:rPr>
          <w:iCs/>
          <w:sz w:val="22"/>
          <w:szCs w:val="22"/>
        </w:rPr>
        <w:t>Os valores seguintes caracterizam o estado do piloto à data indicada. Trata-se de uma fotografia pontual: a base de referência é incremental, pelo que as contagens e as métricas dependentes da coleção evoluem com a adição de novas amostras.</w:t>
      </w:r>
    </w:p>
    <w:p w14:paraId="618D4074" w14:textId="77777777" w:rsidR="000D4CE3" w:rsidRDefault="00000000">
      <w:pPr>
        <w:pStyle w:val="Ttulo2"/>
      </w:pPr>
      <w:bookmarkStart w:id="52" w:name="a.1.-base-de-dados-de-referência"/>
      <w:bookmarkStart w:id="53" w:name="_Toc233579624"/>
      <w:r>
        <w:t>A.1. Base de dados de referência</w:t>
      </w:r>
      <w:bookmarkEnd w:id="52"/>
      <w:bookmarkEnd w:id="5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3732"/>
        <w:gridCol w:w="5106"/>
      </w:tblGrid>
      <w:tr w:rsidR="000D4CE3" w:rsidRPr="0006706C" w14:paraId="1B64BF8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2EE8F77" w14:textId="77777777" w:rsidR="000D4CE3" w:rsidRPr="0006706C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6706C">
              <w:rPr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5027C3C" w14:textId="77777777" w:rsidR="000D4CE3" w:rsidRPr="0006706C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6706C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0D4CE3" w:rsidRPr="0006706C" w14:paraId="7D18007C" w14:textId="77777777">
        <w:tc>
          <w:tcPr>
            <w:tcW w:w="0" w:type="auto"/>
          </w:tcPr>
          <w:p w14:paraId="03144B3B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Amostras de referência válidas</w:t>
            </w:r>
          </w:p>
        </w:tc>
        <w:tc>
          <w:tcPr>
            <w:tcW w:w="0" w:type="auto"/>
          </w:tcPr>
          <w:p w14:paraId="3C96B7DA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1 139</w:t>
            </w:r>
          </w:p>
        </w:tc>
      </w:tr>
      <w:tr w:rsidR="000D4CE3" w:rsidRPr="0006706C" w14:paraId="4D55014C" w14:textId="77777777">
        <w:tc>
          <w:tcPr>
            <w:tcW w:w="0" w:type="auto"/>
          </w:tcPr>
          <w:p w14:paraId="1CD7812C" w14:textId="603A35A8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Amostras excluídas</w:t>
            </w:r>
          </w:p>
        </w:tc>
        <w:tc>
          <w:tcPr>
            <w:tcW w:w="0" w:type="auto"/>
          </w:tcPr>
          <w:p w14:paraId="12832CA9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235</w:t>
            </w:r>
          </w:p>
        </w:tc>
      </w:tr>
      <w:tr w:rsidR="000D4CE3" w:rsidRPr="0006706C" w14:paraId="4F9EEDB2" w14:textId="77777777">
        <w:tc>
          <w:tcPr>
            <w:tcW w:w="0" w:type="auto"/>
          </w:tcPr>
          <w:p w14:paraId="511F9966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Projetos de sequenciação de origem</w:t>
            </w:r>
          </w:p>
        </w:tc>
        <w:tc>
          <w:tcPr>
            <w:tcW w:w="0" w:type="auto"/>
          </w:tcPr>
          <w:p w14:paraId="444CC143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múltiplos (ENA/SRA) + amostras próprias</w:t>
            </w:r>
          </w:p>
        </w:tc>
      </w:tr>
      <w:tr w:rsidR="000D4CE3" w:rsidRPr="0006706C" w14:paraId="649CBCC7" w14:textId="77777777">
        <w:tc>
          <w:tcPr>
            <w:tcW w:w="0" w:type="auto"/>
          </w:tcPr>
          <w:p w14:paraId="1F11B503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Géneros distintos na matriz de composição</w:t>
            </w:r>
          </w:p>
        </w:tc>
        <w:tc>
          <w:tcPr>
            <w:tcW w:w="0" w:type="auto"/>
          </w:tcPr>
          <w:p w14:paraId="0559E46C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2 660</w:t>
            </w:r>
          </w:p>
        </w:tc>
      </w:tr>
      <w:tr w:rsidR="000D4CE3" w:rsidRPr="0006706C" w14:paraId="67225DBA" w14:textId="77777777">
        <w:tc>
          <w:tcPr>
            <w:tcW w:w="0" w:type="auto"/>
          </w:tcPr>
          <w:p w14:paraId="6C030B50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Indicadores funcionais apresentados na plataforma</w:t>
            </w:r>
          </w:p>
        </w:tc>
        <w:tc>
          <w:tcPr>
            <w:tcW w:w="0" w:type="auto"/>
          </w:tcPr>
          <w:p w14:paraId="4BD5E0EA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~190 (selecionados de mais de 2 600 traços da base de referência)</w:t>
            </w:r>
          </w:p>
        </w:tc>
      </w:tr>
      <w:tr w:rsidR="000D4CE3" w:rsidRPr="0006706C" w14:paraId="404C2CF0" w14:textId="77777777">
        <w:tc>
          <w:tcPr>
            <w:tcW w:w="0" w:type="auto"/>
          </w:tcPr>
          <w:p w14:paraId="2C7297EA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Grupos funcionais interpretativos</w:t>
            </w:r>
          </w:p>
        </w:tc>
        <w:tc>
          <w:tcPr>
            <w:tcW w:w="0" w:type="auto"/>
          </w:tcPr>
          <w:p w14:paraId="433AC2B3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17 grupos/subgrupos + ótimos ambientais (pH, temperatura, salinidade)</w:t>
            </w:r>
          </w:p>
        </w:tc>
      </w:tr>
    </w:tbl>
    <w:p w14:paraId="4564B9D8" w14:textId="77777777" w:rsidR="000D4CE3" w:rsidRPr="0006706C" w:rsidRDefault="00000000">
      <w:pPr>
        <w:pStyle w:val="Corpodetexto"/>
        <w:rPr>
          <w:sz w:val="22"/>
          <w:szCs w:val="22"/>
        </w:rPr>
      </w:pPr>
      <w:r w:rsidRPr="0006706C">
        <w:rPr>
          <w:b/>
          <w:sz w:val="22"/>
          <w:szCs w:val="22"/>
        </w:rPr>
        <w:t>Critério de exclusão (controlo de qualidade).</w:t>
      </w:r>
      <w:r w:rsidRPr="0006706C">
        <w:rPr>
          <w:sz w:val="22"/>
          <w:szCs w:val="22"/>
        </w:rPr>
        <w:t xml:space="preserve"> As amostras degeneradas apresentam ≤ 2 géneros detetados; as amostras válidas apresentam ≥ 20 géneros. A separação entre os dois conjuntos é limpa, sem zona de sobreposição.</w:t>
      </w:r>
    </w:p>
    <w:p w14:paraId="443A7853" w14:textId="77777777" w:rsidR="000D4CE3" w:rsidRDefault="00000000">
      <w:pPr>
        <w:pStyle w:val="Ttulo2"/>
      </w:pPr>
      <w:bookmarkStart w:id="54" w:name="a.2.-diversidade-beta-e-ordenação"/>
      <w:bookmarkStart w:id="55" w:name="_Toc233579625"/>
      <w:r>
        <w:t>A.2. Diversidade beta e ordenação</w:t>
      </w:r>
      <w:bookmarkEnd w:id="54"/>
      <w:bookmarkEnd w:id="5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356"/>
        <w:gridCol w:w="4187"/>
      </w:tblGrid>
      <w:tr w:rsidR="000D4CE3" w14:paraId="01A623F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26CE5D" w14:textId="77777777" w:rsidR="000D4CE3" w:rsidRPr="0006706C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6706C">
              <w:rPr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C780D3" w14:textId="77777777" w:rsidR="000D4CE3" w:rsidRPr="0006706C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6706C">
              <w:rPr>
                <w:b/>
                <w:bCs/>
                <w:sz w:val="22"/>
                <w:szCs w:val="22"/>
              </w:rPr>
              <w:t>Valor</w:t>
            </w:r>
          </w:p>
        </w:tc>
      </w:tr>
      <w:tr w:rsidR="000D4CE3" w14:paraId="2793B106" w14:textId="77777777">
        <w:tc>
          <w:tcPr>
            <w:tcW w:w="0" w:type="auto"/>
          </w:tcPr>
          <w:p w14:paraId="5DBE0082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Métrica de distância</w:t>
            </w:r>
          </w:p>
        </w:tc>
        <w:tc>
          <w:tcPr>
            <w:tcW w:w="0" w:type="auto"/>
          </w:tcPr>
          <w:p w14:paraId="5D267642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Bray-Curtis (sobre composição de género)</w:t>
            </w:r>
          </w:p>
        </w:tc>
      </w:tr>
      <w:tr w:rsidR="000D4CE3" w14:paraId="4C6A3811" w14:textId="77777777">
        <w:tc>
          <w:tcPr>
            <w:tcW w:w="0" w:type="auto"/>
          </w:tcPr>
          <w:p w14:paraId="67FAEDFF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Método de ordenação</w:t>
            </w:r>
          </w:p>
        </w:tc>
        <w:tc>
          <w:tcPr>
            <w:tcW w:w="0" w:type="auto"/>
          </w:tcPr>
          <w:p w14:paraId="20894008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Análise de Coordenadas Principais (PCoA)</w:t>
            </w:r>
          </w:p>
        </w:tc>
      </w:tr>
      <w:tr w:rsidR="000D4CE3" w14:paraId="075C7B5F" w14:textId="77777777">
        <w:tc>
          <w:tcPr>
            <w:tcW w:w="0" w:type="auto"/>
          </w:tcPr>
          <w:p w14:paraId="21F5B0C1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Variância explicada — eixo PC1</w:t>
            </w:r>
          </w:p>
        </w:tc>
        <w:tc>
          <w:tcPr>
            <w:tcW w:w="0" w:type="auto"/>
          </w:tcPr>
          <w:p w14:paraId="698AA803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16,7 %</w:t>
            </w:r>
          </w:p>
        </w:tc>
      </w:tr>
      <w:tr w:rsidR="000D4CE3" w14:paraId="616B8C45" w14:textId="77777777">
        <w:tc>
          <w:tcPr>
            <w:tcW w:w="0" w:type="auto"/>
          </w:tcPr>
          <w:p w14:paraId="01F59DCB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Variância explicada — eixo PC2</w:t>
            </w:r>
          </w:p>
        </w:tc>
        <w:tc>
          <w:tcPr>
            <w:tcW w:w="0" w:type="auto"/>
          </w:tcPr>
          <w:p w14:paraId="46B323A7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8,1 %</w:t>
            </w:r>
          </w:p>
        </w:tc>
      </w:tr>
      <w:tr w:rsidR="000D4CE3" w14:paraId="1384BF50" w14:textId="77777777">
        <w:tc>
          <w:tcPr>
            <w:tcW w:w="0" w:type="auto"/>
          </w:tcPr>
          <w:p w14:paraId="75F1124C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Variância acumulada (PC1 + PC2)</w:t>
            </w:r>
          </w:p>
        </w:tc>
        <w:tc>
          <w:tcPr>
            <w:tcW w:w="0" w:type="auto"/>
          </w:tcPr>
          <w:p w14:paraId="3C57E8A4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24,8 %</w:t>
            </w:r>
          </w:p>
        </w:tc>
      </w:tr>
    </w:tbl>
    <w:p w14:paraId="66AC0A78" w14:textId="77777777" w:rsidR="000D4CE3" w:rsidRDefault="00000000">
      <w:pPr>
        <w:pStyle w:val="Ttulo2"/>
      </w:pPr>
      <w:bookmarkStart w:id="56" w:name="a.3.-validação-numérica"/>
      <w:bookmarkStart w:id="57" w:name="_Toc233579626"/>
      <w:r>
        <w:t>A.3. Validação numérica</w:t>
      </w:r>
      <w:bookmarkEnd w:id="56"/>
      <w:bookmarkEnd w:id="57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5886"/>
        <w:gridCol w:w="2952"/>
      </w:tblGrid>
      <w:tr w:rsidR="000D4CE3" w14:paraId="4A7984C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1A9673" w14:textId="77777777" w:rsidR="000D4CE3" w:rsidRPr="0006706C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6706C">
              <w:rPr>
                <w:b/>
                <w:bCs/>
                <w:sz w:val="22"/>
                <w:szCs w:val="22"/>
              </w:rPr>
              <w:t>Verificação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40AB975" w14:textId="77777777" w:rsidR="000D4CE3" w:rsidRPr="0006706C" w:rsidRDefault="00000000">
            <w:pPr>
              <w:pStyle w:val="Compact"/>
              <w:rPr>
                <w:b/>
                <w:bCs/>
                <w:sz w:val="22"/>
                <w:szCs w:val="22"/>
              </w:rPr>
            </w:pPr>
            <w:r w:rsidRPr="0006706C">
              <w:rPr>
                <w:b/>
                <w:bCs/>
                <w:sz w:val="22"/>
                <w:szCs w:val="22"/>
              </w:rPr>
              <w:t>Resultado</w:t>
            </w:r>
          </w:p>
        </w:tc>
      </w:tr>
      <w:tr w:rsidR="000D4CE3" w14:paraId="74643E08" w14:textId="77777777">
        <w:tc>
          <w:tcPr>
            <w:tcW w:w="0" w:type="auto"/>
          </w:tcPr>
          <w:p w14:paraId="32E6FCB7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Projeção de amostra nova (reprodução das coordenadas de amostras conhecidas)</w:t>
            </w:r>
          </w:p>
        </w:tc>
        <w:tc>
          <w:tcPr>
            <w:tcW w:w="0" w:type="auto"/>
          </w:tcPr>
          <w:p w14:paraId="6279C415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erro numérico ≈ 5 × 10⁻⁷</w:t>
            </w:r>
          </w:p>
        </w:tc>
      </w:tr>
      <w:tr w:rsidR="000D4CE3" w14:paraId="414B0968" w14:textId="77777777">
        <w:tc>
          <w:tcPr>
            <w:tcW w:w="0" w:type="auto"/>
          </w:tcPr>
          <w:p w14:paraId="44ACA208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Cadeia ponta-a-ponta com a amostra de exemplo (distância à sua própria referência)</w:t>
            </w:r>
          </w:p>
        </w:tc>
        <w:tc>
          <w:tcPr>
            <w:tcW w:w="0" w:type="auto"/>
          </w:tcPr>
          <w:p w14:paraId="2DD0E0C1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Bray-Curtis ≈ 0,0001</w:t>
            </w:r>
          </w:p>
        </w:tc>
      </w:tr>
      <w:tr w:rsidR="000D4CE3" w14:paraId="21D43C1D" w14:textId="77777777">
        <w:tc>
          <w:tcPr>
            <w:tcW w:w="0" w:type="auto"/>
          </w:tcPr>
          <w:p w14:paraId="76B4A495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Régua relativa (distribuição por terços na coleção)</w:t>
            </w:r>
          </w:p>
        </w:tc>
        <w:tc>
          <w:tcPr>
            <w:tcW w:w="0" w:type="auto"/>
          </w:tcPr>
          <w:p w14:paraId="0B1AE51D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conforme o esperado</w:t>
            </w:r>
          </w:p>
        </w:tc>
      </w:tr>
      <w:tr w:rsidR="000D4CE3" w14:paraId="14E2023A" w14:textId="77777777">
        <w:tc>
          <w:tcPr>
            <w:tcW w:w="0" w:type="auto"/>
          </w:tcPr>
          <w:p w14:paraId="6612EF50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Invariante de consistência da agregação (soma das categorias por traço discreto)</w:t>
            </w:r>
          </w:p>
        </w:tc>
        <w:tc>
          <w:tcPr>
            <w:tcW w:w="0" w:type="auto"/>
          </w:tcPr>
          <w:p w14:paraId="7F73B48A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= 1,0</w:t>
            </w:r>
          </w:p>
        </w:tc>
      </w:tr>
      <w:tr w:rsidR="000D4CE3" w14:paraId="3CB56BB0" w14:textId="77777777">
        <w:tc>
          <w:tcPr>
            <w:tcW w:w="0" w:type="auto"/>
          </w:tcPr>
          <w:p w14:paraId="3D7C3AB8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Efeito da exclusão de degeneradas na ordenação (variância do PC1)</w:t>
            </w:r>
          </w:p>
        </w:tc>
        <w:tc>
          <w:tcPr>
            <w:tcW w:w="0" w:type="auto"/>
          </w:tcPr>
          <w:p w14:paraId="61E581E7" w14:textId="77777777" w:rsidR="000D4CE3" w:rsidRPr="0006706C" w:rsidRDefault="00000000">
            <w:pPr>
              <w:pStyle w:val="Compact"/>
              <w:rPr>
                <w:sz w:val="22"/>
                <w:szCs w:val="22"/>
              </w:rPr>
            </w:pPr>
            <w:r w:rsidRPr="0006706C">
              <w:rPr>
                <w:sz w:val="22"/>
                <w:szCs w:val="22"/>
              </w:rPr>
              <w:t>32,3 % → 16,7 % (artefacto removido)</w:t>
            </w:r>
          </w:p>
        </w:tc>
      </w:tr>
    </w:tbl>
    <w:p w14:paraId="16F10094" w14:textId="77777777" w:rsidR="00206325" w:rsidRDefault="00206325"/>
    <w:sectPr w:rsidR="0020632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4092" w14:textId="77777777" w:rsidR="00206325" w:rsidRDefault="00206325">
      <w:pPr>
        <w:spacing w:after="0"/>
      </w:pPr>
      <w:r>
        <w:separator/>
      </w:r>
    </w:p>
  </w:endnote>
  <w:endnote w:type="continuationSeparator" w:id="0">
    <w:p w14:paraId="53CED4AF" w14:textId="77777777" w:rsidR="00206325" w:rsidRDefault="002063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9564D" w14:textId="77777777" w:rsidR="00206325" w:rsidRDefault="00206325">
      <w:r>
        <w:separator/>
      </w:r>
    </w:p>
  </w:footnote>
  <w:footnote w:type="continuationSeparator" w:id="0">
    <w:p w14:paraId="651269BC" w14:textId="77777777" w:rsidR="00206325" w:rsidRDefault="002063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9C8846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6DAE17E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2D92B26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929704432">
    <w:abstractNumId w:val="1"/>
  </w:num>
  <w:num w:numId="2" w16cid:durableId="8539563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3175344">
    <w:abstractNumId w:val="2"/>
  </w:num>
  <w:num w:numId="4" w16cid:durableId="4796034">
    <w:abstractNumId w:val="2"/>
  </w:num>
  <w:num w:numId="5" w16cid:durableId="917984374">
    <w:abstractNumId w:val="2"/>
  </w:num>
  <w:num w:numId="6" w16cid:durableId="1704208000">
    <w:abstractNumId w:val="2"/>
  </w:num>
  <w:num w:numId="7" w16cid:durableId="4083844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0288527">
    <w:abstractNumId w:val="2"/>
  </w:num>
  <w:num w:numId="9" w16cid:durableId="615143081">
    <w:abstractNumId w:val="2"/>
  </w:num>
  <w:num w:numId="10" w16cid:durableId="14895892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3327808">
    <w:abstractNumId w:val="2"/>
  </w:num>
  <w:num w:numId="12" w16cid:durableId="753823153">
    <w:abstractNumId w:val="2"/>
  </w:num>
  <w:num w:numId="13" w16cid:durableId="1974675575">
    <w:abstractNumId w:val="2"/>
  </w:num>
  <w:num w:numId="14" w16cid:durableId="1463578198">
    <w:abstractNumId w:val="2"/>
  </w:num>
  <w:num w:numId="15" w16cid:durableId="1714428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6706C"/>
    <w:rsid w:val="000D4CE3"/>
    <w:rsid w:val="00206325"/>
    <w:rsid w:val="004E29B3"/>
    <w:rsid w:val="004F2C65"/>
    <w:rsid w:val="00590D07"/>
    <w:rsid w:val="00784D58"/>
    <w:rsid w:val="008D6863"/>
    <w:rsid w:val="00B86B75"/>
    <w:rsid w:val="00BC48D5"/>
    <w:rsid w:val="00BE4962"/>
    <w:rsid w:val="00C36279"/>
    <w:rsid w:val="00C513C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01B8"/>
  <w15:docId w15:val="{14AD0AEE-E5D7-4FE7-ABA2-27325FC6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4F81BD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dice1">
    <w:name w:val="toc 1"/>
    <w:basedOn w:val="Normal"/>
    <w:next w:val="Normal"/>
    <w:autoRedefine/>
    <w:uiPriority w:val="39"/>
    <w:rsid w:val="0006706C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06706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3397</Words>
  <Characters>18344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de Inferência de Traços Funcionais do Microbioma do Solo</vt:lpstr>
    </vt:vector>
  </TitlesOfParts>
  <Company/>
  <LinksUpToDate>false</LinksUpToDate>
  <CharactersWithSpaces>21698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Inferência de Traços Funcionais do Microbioma do Solo</dc:title>
  <dc:creator>AppGenomics, Lda · Vouchers para Startups (PRR / IAPMEI)</dc:creator>
  <cp:keywords/>
  <cp:lastModifiedBy>BRAZAO Joao</cp:lastModifiedBy>
  <cp:revision>2</cp:revision>
  <cp:lastPrinted>2026-06-28T21:54:00Z</cp:lastPrinted>
  <dcterms:created xsi:type="dcterms:W3CDTF">2026-06-28T21:55:00Z</dcterms:created>
  <dcterms:modified xsi:type="dcterms:W3CDTF">2026-06-28T21:55:00Z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Junho de 2026</vt:lpwstr>
  </property>
  <property fmtid="{D5CDD505-2E9C-101B-9397-08002B2CF9AE}" pid="3" name="subtitle">
    <vt:lpwstr>Memória Descritiva — Piloto em Viticultura</vt:lpwstr>
  </property>
</Properties>
</file>