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Variáveis – Projeto – Tarefa 7 - SIM</w:t>
      </w:r>
    </w:p>
    <w:tbl>
      <w:tblPr>
        <w:tblStyle w:val="Table1"/>
        <w:tblW w:w="9978.800048828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6.0800170898438"/>
        <w:gridCol w:w="1999.7198486328125"/>
        <w:gridCol w:w="6973.000183105469"/>
        <w:tblGridChange w:id="0">
          <w:tblGrid>
            <w:gridCol w:w="1006.0800170898438"/>
            <w:gridCol w:w="1999.7198486328125"/>
            <w:gridCol w:w="6973.000183105469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Coluna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Variável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bfbfbf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1e4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1e4f5" w:val="clear"/>
                <w:vertAlign w:val="baseline"/>
                <w:rtl w:val="0"/>
              </w:rPr>
              <w:t xml:space="preserve">Identificadores do banco de dados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ano de referência (para os alunos de 2026/2 será 2016)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NIVEL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nível da informação: UF ou MUNICIPIO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CODMUNRES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Código da UF ou do município de residência segundo IBGE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1e4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c1e4f5" w:val="clear"/>
                <w:vertAlign w:val="baseline"/>
                <w:rtl w:val="0"/>
              </w:rPr>
              <w:t xml:space="preserve">Informações de Óbitos - SIM</w:t>
            </w:r>
          </w:p>
        </w:tc>
      </w:tr>
      <w:tr>
        <w:trPr>
          <w:cantSplit w:val="0"/>
          <w:trHeight w:val="304.799804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Informações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Gerais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</w:t>
            </w:r>
          </w:p>
        </w:tc>
      </w:tr>
      <w:tr>
        <w:trPr>
          <w:cantSplit w:val="0"/>
          <w:trHeight w:val="54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TORC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365.93292236328125" w:right="308.054199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com registros completos (sem qualquer NA) nas 87  variáveis do SIM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TORCR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365.93292236328125" w:right="308.054199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com registros completos (sem qualquer NA) nas 14  variáveis selecionadas do SIM</w:t>
            </w:r>
          </w:p>
        </w:tc>
      </w:tr>
      <w:tr>
        <w:trPr>
          <w:cantSplit w:val="0"/>
          <w:trHeight w:val="8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46391296387" w:lineRule="auto"/>
              <w:ind w:left="193.44024658203125" w:right="134.2004394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de óbitos por causas externas de morbidade e mortalidade  (CID-10: V01–Y98), correspondentes a acidentes, violências e  demais eventos não naturais</w:t>
            </w:r>
          </w:p>
        </w:tc>
      </w:tr>
      <w:tr>
        <w:trPr>
          <w:cantSplit w:val="0"/>
          <w:trHeight w:val="5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63557434082" w:lineRule="auto"/>
              <w:ind w:left="375.84014892578125" w:right="319.72045898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de óbitos por causas básicas naturais (todas as causas  exceto as causas externas do CID-10 – V01–Y98)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TO_CB_I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658.73291015625" w:right="606.8066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por causas básicas de doenças infecciosas e  parasitárias (capítulo A00–B99 do CID-10)</w:t>
            </w:r>
          </w:p>
        </w:tc>
      </w:tr>
      <w:tr>
        <w:trPr>
          <w:cantSplit w:val="0"/>
          <w:trHeight w:val="81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TO_CB_N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617160797119" w:lineRule="auto"/>
              <w:ind w:left="171.53289794921875" w:right="117.629394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por causas básicas de neoplasias e doenças do sangue  e dos órgãos hematopoéticos (capítulos C00–D48 e D50–D89 do CID 10)</w:t>
            </w:r>
          </w:p>
        </w:tc>
      </w:tr>
      <w:tr>
        <w:trPr>
          <w:cantSplit w:val="0"/>
          <w:trHeight w:val="54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TO_CB_C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49.932861328125" w:right="96.3952636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por causas básicas de doenças do aparelho circulatório  (capítulo I00–I99 do CID-10)</w:t>
            </w:r>
          </w:p>
        </w:tc>
      </w:tr>
      <w:tr>
        <w:trPr>
          <w:cantSplit w:val="0"/>
          <w:trHeight w:val="54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TO_CB_R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1555633545" w:lineRule="auto"/>
              <w:ind w:left="149.932861328125" w:right="96.174316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por causas básicas de doenças do aparelho respiratório  (capítulo J00–J99 do CID-10)</w:t>
            </w:r>
          </w:p>
        </w:tc>
      </w:tr>
      <w:tr>
        <w:trPr>
          <w:cantSplit w:val="0"/>
          <w:trHeight w:val="8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TO_CB_O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47.532958984375" w:right="97.02758789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por outras causas básicas naturais, correspondentes às  demais causas do CID-10 não classificadas nos capítulos A00–B99,  C00–D48, D50–D89, I00–I99 e J00–J99</w:t>
            </w:r>
          </w:p>
        </w:tc>
      </w:tr>
      <w:tr>
        <w:trPr>
          <w:cantSplit w:val="0"/>
          <w:trHeight w:val="278.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masculinos</w:t>
            </w:r>
          </w:p>
        </w:tc>
      </w:tr>
      <w:tr>
        <w:trPr>
          <w:cantSplit w:val="0"/>
          <w:trHeight w:val="278.4014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femininos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TO_F_IF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femininos em idade fértil (idade &gt;=15 e &lt;=49 anos)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Informações fetais e neonatais</w:t>
            </w:r>
          </w:p>
        </w:tc>
      </w:tr>
      <w:tr>
        <w:trPr>
          <w:cantSplit w:val="0"/>
          <w:trHeight w:val="278.40118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TO_FT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fetais</w:t>
            </w:r>
          </w:p>
        </w:tc>
      </w:tr>
      <w:tr>
        <w:trPr>
          <w:cantSplit w:val="0"/>
          <w:trHeight w:val="278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neonatais (0 &lt;= idade &lt;= 27 dias)</w:t>
            </w:r>
          </w:p>
        </w:tc>
      </w:tr>
      <w:tr>
        <w:trPr>
          <w:cantSplit w:val="0"/>
          <w:trHeight w:val="278.39874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TO_NT_P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neonatais precoces (0 &lt;= idade &lt;= 6 dias)</w:t>
            </w:r>
          </w:p>
        </w:tc>
      </w:tr>
      <w:tr>
        <w:trPr>
          <w:cantSplit w:val="0"/>
          <w:trHeight w:val="280.80139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TO_NT_T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neonatais tardios (7 &lt;= idade &lt;= 27 dias)</w:t>
            </w:r>
          </w:p>
        </w:tc>
      </w:tr>
      <w:tr>
        <w:trPr>
          <w:cantSplit w:val="0"/>
          <w:trHeight w:val="27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TO_PNT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pós-neonatal (28 dias &lt;=idade &lt;= 364 dias)</w:t>
            </w:r>
          </w:p>
        </w:tc>
      </w:tr>
      <w:tr>
        <w:trPr>
          <w:cantSplit w:val="0"/>
          <w:trHeight w:val="278.39874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TONT_B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neonatais (0 &lt;= idade &lt;= 27 dias) da raça/cor branca</w:t>
            </w:r>
          </w:p>
        </w:tc>
      </w:tr>
      <w:tr>
        <w:trPr>
          <w:cantSplit w:val="0"/>
          <w:trHeight w:val="278.40118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TONT_PT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neonatais (0 &lt;= idade &lt;= 27 dias) da raça/cor preta</w:t>
            </w:r>
          </w:p>
        </w:tc>
      </w:tr>
      <w:tr>
        <w:trPr>
          <w:cantSplit w:val="0"/>
          <w:trHeight w:val="27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TONT_A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neonatais (0 &lt;= idade &lt;= 27 dias) da raça/cor amarela</w:t>
            </w:r>
          </w:p>
        </w:tc>
      </w:tr>
      <w:tr>
        <w:trPr>
          <w:cantSplit w:val="0"/>
          <w:trHeight w:val="27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TONT_PD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neonatais (0 &lt;= idade &lt;= 27 dias) da raça/cor parda</w:t>
            </w:r>
          </w:p>
        </w:tc>
      </w:tr>
      <w:tr>
        <w:trPr>
          <w:cantSplit w:val="0"/>
          <w:trHeight w:val="278.3988952636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TONT_I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neonatais (0 &lt;= idade &lt;= 27 dias) da raça/cor indígena</w:t>
            </w:r>
          </w:p>
        </w:tc>
      </w:tr>
      <w:tr>
        <w:trPr>
          <w:cantSplit w:val="0"/>
          <w:trHeight w:val="278.3212280273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Informações maternas</w:t>
            </w:r>
          </w:p>
        </w:tc>
      </w:tr>
      <w:tr>
        <w:trPr>
          <w:cantSplit w:val="0"/>
          <w:trHeight w:val="27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TO_MT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maternos (precoces e tardios)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8.800048828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6.0800170898438"/>
        <w:gridCol w:w="1999.7198486328125"/>
        <w:gridCol w:w="6973.000183105469"/>
        <w:tblGridChange w:id="0">
          <w:tblGrid>
            <w:gridCol w:w="1006.0800170898438"/>
            <w:gridCol w:w="1999.7198486328125"/>
            <w:gridCol w:w="6973.000183105469"/>
          </w:tblGrid>
        </w:tblGridChange>
      </w:tblGrid>
      <w:tr>
        <w:trPr>
          <w:cantSplit w:val="0"/>
          <w:trHeight w:val="27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TO_MT_DG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maternos durante a gestação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TO_MT_PT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maternos no parto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TO_MT_AB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maternos no abortamento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TO_MT_42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maternos até 42 dias após o parto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TO_MT_43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346.7327880859375" w:right="289.2663574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maternos tardio (de 43 a 364 dias após o término da  gestação)</w:t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TO_MT_P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392.332763671875" w:right="342.4035644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maternos precoces (na gestação ou no parto ou no  abortamento ou em até 42 dias após o parto)</w:t>
            </w:r>
          </w:p>
        </w:tc>
      </w:tr>
      <w:tr>
        <w:trPr>
          <w:cantSplit w:val="0"/>
          <w:trHeight w:val="8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TO_MT_P_I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306.68182373046875" w:right="247.441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maternos precoces (na gestação ou no parto ou no  abortamento ou em até 42 dias após o parto) de mulheres em idade  fértil (idade &gt;=15 e &lt;=49 anos)</w:t>
            </w:r>
          </w:p>
        </w:tc>
      </w:tr>
      <w:tr>
        <w:trPr>
          <w:cantSplit w:val="0"/>
          <w:trHeight w:val="816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TO_MT_P_ES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392.332763671875" w:right="342.4035644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maternos precoces (na gestação ou no parto ou no  abortamento ou em até 42 dias após o parto) de mulheres sem  escolaridade</w:t>
            </w:r>
          </w:p>
        </w:tc>
      </w:tr>
      <w:tr>
        <w:trPr>
          <w:cantSplit w:val="0"/>
          <w:trHeight w:val="8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TO_MT_P_EFI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392.332763671875" w:right="342.4035644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maternos precoces (na gestação ou no parto ou no  abortamento ou em até 42 dias após o parto) de mulheres com  escolaridade fundamental I</w:t>
            </w:r>
          </w:p>
        </w:tc>
      </w:tr>
      <w:tr>
        <w:trPr>
          <w:cantSplit w:val="0"/>
          <w:trHeight w:val="81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TO_MT_P_EFII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29436874389648" w:lineRule="auto"/>
              <w:ind w:left="392.332763671875" w:right="342.4035644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maternos precoces (na gestação ou no parto ou no  abortamento ou em até 42 dias após o parto) de mulheres com  escolaridade fundamental II</w:t>
            </w:r>
          </w:p>
        </w:tc>
      </w:tr>
      <w:tr>
        <w:trPr>
          <w:cantSplit w:val="0"/>
          <w:trHeight w:val="8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TO_MT_P_EM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2939682006836" w:lineRule="auto"/>
              <w:ind w:left="392.332763671875" w:right="342.4035644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maternos precoces (na gestação ou no parto ou no  abortamento ou em até 42 dias após o parto) de mulheres com  escolaridade médio</w:t>
            </w:r>
          </w:p>
        </w:tc>
      </w:tr>
      <w:tr>
        <w:trPr>
          <w:cantSplit w:val="0"/>
          <w:trHeight w:val="81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TO_MT_P_ESI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392.332763671875" w:right="342.4035644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maternos precoces (na gestação ou no parto ou no  abortamento ou em até 42 dias após o parto) de mulheres com  escolaridade superior incompleto</w:t>
            </w:r>
          </w:p>
        </w:tc>
      </w:tr>
      <w:tr>
        <w:trPr>
          <w:cantSplit w:val="0"/>
          <w:trHeight w:val="81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TO_MT_P_ESC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617160797119" w:lineRule="auto"/>
              <w:ind w:left="392.332763671875" w:right="342.4035644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de óbitos maternos precoces (na gestação ou no parto ou no  abortamento ou em até 42 dias após o parto) de mulheres com  escolaridade superior completo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507.6795959472656" w:top="1418.399658203125" w:left="960" w:right="967.6000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