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F8913" w14:textId="0874BD18" w:rsidR="006F5A27" w:rsidRPr="00647CB3" w:rsidRDefault="00813421" w:rsidP="00813421">
      <w:pPr>
        <w:ind w:firstLine="0"/>
        <w:jc w:val="center"/>
      </w:pPr>
      <w:r w:rsidRPr="00647CB3">
        <w:t>João Cancela</w:t>
      </w:r>
    </w:p>
    <w:p w14:paraId="2168A826" w14:textId="0CDE2F68" w:rsidR="00813421" w:rsidRDefault="00813421" w:rsidP="00813421">
      <w:pPr>
        <w:ind w:firstLine="0"/>
        <w:jc w:val="center"/>
        <w:rPr>
          <w:b/>
        </w:rPr>
      </w:pPr>
      <w:r>
        <w:rPr>
          <w:b/>
        </w:rPr>
        <w:t xml:space="preserve">“Some politics is local: </w:t>
      </w:r>
      <w:r w:rsidR="00647CB3">
        <w:rPr>
          <w:b/>
        </w:rPr>
        <w:t xml:space="preserve"> </w:t>
      </w:r>
      <w:r>
        <w:rPr>
          <w:b/>
        </w:rPr>
        <w:t xml:space="preserve">an analysis of the roots of involvement </w:t>
      </w:r>
      <w:r w:rsidR="00647CB3">
        <w:rPr>
          <w:b/>
        </w:rPr>
        <w:br/>
      </w:r>
      <w:bookmarkStart w:id="0" w:name="_GoBack"/>
      <w:bookmarkEnd w:id="0"/>
      <w:r>
        <w:rPr>
          <w:b/>
        </w:rPr>
        <w:t>in national and local politics in Europe”</w:t>
      </w:r>
    </w:p>
    <w:p w14:paraId="77871C3F" w14:textId="53A98513" w:rsidR="00813421" w:rsidRDefault="00813421" w:rsidP="00813421">
      <w:pPr>
        <w:ind w:firstLine="0"/>
        <w:jc w:val="center"/>
        <w:rPr>
          <w:b/>
        </w:rPr>
      </w:pPr>
    </w:p>
    <w:p w14:paraId="4217C00A" w14:textId="31C196CC" w:rsidR="00813421" w:rsidRPr="00813421" w:rsidRDefault="00647CB3" w:rsidP="00813421">
      <w:pPr>
        <w:ind w:firstLine="0"/>
        <w:jc w:val="center"/>
      </w:pPr>
      <w:r>
        <w:t xml:space="preserve"> </w:t>
      </w:r>
      <w:r w:rsidR="00813421">
        <w:t xml:space="preserve">(Currently under </w:t>
      </w:r>
      <w:r>
        <w:t xml:space="preserve">peer </w:t>
      </w:r>
      <w:r w:rsidR="00813421">
        <w:t>review)</w:t>
      </w:r>
    </w:p>
    <w:p w14:paraId="5C88EFDB" w14:textId="77777777" w:rsidR="006F5A27" w:rsidRDefault="006F5A27" w:rsidP="00813421">
      <w:pPr>
        <w:ind w:firstLine="0"/>
        <w:rPr>
          <w:b/>
        </w:rPr>
      </w:pPr>
    </w:p>
    <w:p w14:paraId="5413AD95" w14:textId="368E2A75" w:rsidR="00C5346A" w:rsidRPr="00557367" w:rsidRDefault="00C5346A" w:rsidP="00813421">
      <w:pPr>
        <w:pStyle w:val="ListParagraph"/>
        <w:numPr>
          <w:ilvl w:val="0"/>
          <w:numId w:val="10"/>
        </w:numPr>
        <w:rPr>
          <w:b/>
        </w:rPr>
      </w:pPr>
      <w:r w:rsidRPr="00557367">
        <w:rPr>
          <w:b/>
        </w:rPr>
        <w:t>Introduction</w:t>
      </w:r>
    </w:p>
    <w:p w14:paraId="05A830FE" w14:textId="428A64C9" w:rsidR="00115D2F" w:rsidRPr="00557367" w:rsidRDefault="000266CE" w:rsidP="00813421">
      <w:pPr>
        <w:ind w:firstLine="708"/>
      </w:pPr>
      <w:r w:rsidRPr="00557367">
        <w:t>Is</w:t>
      </w:r>
      <w:r w:rsidR="00115D2F" w:rsidRPr="00557367">
        <w:t xml:space="preserve"> political engagement towards different territorial levels explained by the same factors?  </w:t>
      </w:r>
      <w:r w:rsidR="00C41D2C" w:rsidRPr="00557367">
        <w:t>T</w:t>
      </w:r>
      <w:r w:rsidR="00562FD9" w:rsidRPr="00557367">
        <w:t>he l</w:t>
      </w:r>
      <w:r w:rsidR="00115D2F" w:rsidRPr="00557367">
        <w:t xml:space="preserve">iterature about the sources of involvement in politics is ample and diverse, </w:t>
      </w:r>
      <w:r w:rsidR="00562FD9" w:rsidRPr="00557367">
        <w:t xml:space="preserve">but </w:t>
      </w:r>
      <w:r w:rsidR="00115D2F" w:rsidRPr="00557367">
        <w:t>most converges in treating its dependent variables as one-dimensional from a territorial perspective.</w:t>
      </w:r>
      <w:r w:rsidR="00EA6F24" w:rsidRPr="00557367">
        <w:t xml:space="preserve"> </w:t>
      </w:r>
      <w:r w:rsidR="003B3534" w:rsidRPr="00557367">
        <w:t>Concretely</w:t>
      </w:r>
      <w:r w:rsidR="00EA6F24" w:rsidRPr="00557367">
        <w:t>,</w:t>
      </w:r>
      <w:r w:rsidR="00C41D2C" w:rsidRPr="00557367">
        <w:t xml:space="preserve"> t</w:t>
      </w:r>
      <w:r w:rsidR="00115D2F" w:rsidRPr="00557367">
        <w:t xml:space="preserve">here is a lack of cross-national </w:t>
      </w:r>
      <w:r w:rsidR="00C41D2C" w:rsidRPr="00557367">
        <w:t xml:space="preserve">inquiries </w:t>
      </w:r>
      <w:r w:rsidR="00115D2F" w:rsidRPr="00557367">
        <w:t xml:space="preserve">examining if the </w:t>
      </w:r>
      <w:r w:rsidR="00D36861" w:rsidRPr="00557367">
        <w:t xml:space="preserve">predictors </w:t>
      </w:r>
      <w:r w:rsidR="00115D2F" w:rsidRPr="00557367">
        <w:t xml:space="preserve">driving </w:t>
      </w:r>
      <w:r w:rsidR="009D013D" w:rsidRPr="00557367">
        <w:t xml:space="preserve">involvement in </w:t>
      </w:r>
      <w:r w:rsidR="00115D2F" w:rsidRPr="00557367">
        <w:t xml:space="preserve">national politics are the same than those behind local politics. In this </w:t>
      </w:r>
      <w:r w:rsidR="00ED3157" w:rsidRPr="00557367">
        <w:t>article</w:t>
      </w:r>
      <w:r w:rsidR="00115D2F" w:rsidRPr="00557367">
        <w:t xml:space="preserve">, we examine this question and show </w:t>
      </w:r>
      <w:r w:rsidR="00D36861" w:rsidRPr="00557367">
        <w:t xml:space="preserve">how </w:t>
      </w:r>
      <w:r w:rsidR="00115D2F" w:rsidRPr="00557367">
        <w:t xml:space="preserve">levels of political discussion about different </w:t>
      </w:r>
      <w:r w:rsidR="00C41D2C" w:rsidRPr="00557367">
        <w:t xml:space="preserve">jurisdictional </w:t>
      </w:r>
      <w:r w:rsidR="00115D2F" w:rsidRPr="00557367">
        <w:t xml:space="preserve">scales </w:t>
      </w:r>
      <w:r w:rsidR="009D013D" w:rsidRPr="00557367">
        <w:t>can be accounted for by different factors</w:t>
      </w:r>
      <w:r w:rsidR="00115D2F" w:rsidRPr="00557367">
        <w:t xml:space="preserve">. </w:t>
      </w:r>
    </w:p>
    <w:p w14:paraId="1208B198" w14:textId="2462BFAE" w:rsidR="00C41D2C" w:rsidRPr="00557367" w:rsidRDefault="001A534F" w:rsidP="00813421">
      <w:pPr>
        <w:ind w:firstLine="708"/>
      </w:pPr>
      <w:r w:rsidRPr="00557367">
        <w:t>T</w:t>
      </w:r>
      <w:r w:rsidR="00C41D2C" w:rsidRPr="00557367">
        <w:t>he existence of parallel layers of government – local, national, and in some instances regional and supra-national – is by now an archetypal attribute of democratic polities</w:t>
      </w:r>
      <w:r w:rsidRPr="00557367">
        <w:t>. However,</w:t>
      </w:r>
      <w:r w:rsidR="00C41D2C" w:rsidRPr="00557367">
        <w:t xml:space="preserve"> only recently have researchers given systematic consideration to differences in degrees of involvement towards each of them</w:t>
      </w:r>
      <w:r w:rsidR="000266CE" w:rsidRPr="00557367">
        <w:t xml:space="preserve"> </w:t>
      </w:r>
      <w:r w:rsidR="000266CE" w:rsidRPr="00557367">
        <w:fldChar w:fldCharType="begin"/>
      </w:r>
      <w:r w:rsidR="000266CE" w:rsidRPr="00557367">
        <w:instrText xml:space="preserve"> ADDIN ZOTERO_ITEM CSL_CITATION {"citationID":"ovrPc6eD","properties":{"formattedCitation":"{\\rtf (Coff\\uc0\\u233{}, 2013; Shaker, 2012)}","plainCitation":"(Coffé, 2013; Shaker, 2012)"},"citationItems":[{"id":576,"uris":["http://zotero.org/users/109723/items/KWVVXAJG"],"uri":["http://zotero.org/users/109723/items/KWVVXAJG"],"itemData":{"id":576,"type":"article-journal","title":"Women Stay Local, Men Go National and Global? Gender Differences in Political Interest","container-title":"Sex Roles","page":"323-338","volume":"69","issue":"5-6","source":"ISI Web of Knowledge","abstract":"This study challenges the idea that women are less interested in politics than men by arguing that women are not less interested in politics but, rather, are interested in different issues. I decompose the concept of general political interest into interest in local, national and international issues and investigate gender differences in interest in these different issues, as well as in politics in general. Ordinary Least Squares (OLS) regression analyses, based on data collected in 2011 (British Participation Survey) on a representative sample of British citizens (N = 1,353), reveal no substantial gender difference in interest in local issues. Once political efficacy is controlled for, however, women are more likely than men to be interested in local issues. Furthermore, women are less likely to be interested in national and international issues, as well as politics in general, than men. Further analyses demonstrate that part of the gap in general political interest may be explained by the fact that interest in politics is primarily understood as interest in national politics, an issue in which men are more likely to be interested than women. In summary, the results highlight the need to clarify the concept of 'politics' and to move towards the notion that women and men are interested in different issues, rather than the notion that women are less politically interested than men.","DOI":"10.1007/s11199-013-0308-x","ISSN":"0360-0025","note":"WOS:000323069500008","shortTitle":"Women Stay Local, Men Go National and Global?","journalAbbreviation":"Sex Roles","language":"English","author":[{"family":"Coffé","given":"Hilde"}],"issued":{"date-parts":[["2013",9]]}}},{"id":910,"uris":["http://zotero.org/users/109723/items/ZP7PFE3B"],"uri":["http://zotero.org/users/109723/items/ZP7PFE3B"],"itemData":{"id":910,"type":"article-journal","title":"Local Political Knowledge and Assessments of Citizen Competence","container-title":"Public Opinion Quarterly","page":"525-537","volume":"76","issue":"3","source":"poq.oxfordjournals.org","abstract":"This article contrasts the national and local political knowledge of a random sample of 993 Philadelphians with the aim of enhancing the scholarly understanding of citizen competence. Empirical study of citizen competence extends back more than fifty years, but the survey data that have been brought to bear upon the topic are almost exclusively focused on national-level politics. Consequently, sweeping conclusions about the competence of the American public rest upon a narrow foundation. The comparisons in this article depict a slew of differences in the distribution of knowledge across national and local politics, many of which challenge established notions of who is politically knowledgeable. This, in turn, has implications for which members of society are seen as politically competent and how competent the public as a whole is thought to be.","DOI":"10.1093/poq/nfs018","ISSN":"0033-362X, 1537-5331","journalAbbreviation":"Public Opin Q","language":"en","author":[{"family":"Shaker","given":"Lee"}],"issued":{"date-parts":[["2012",9,21]]}}}],"schema":"https://github.com/citation-style-language/schema/raw/master/csl-citation.json"} </w:instrText>
      </w:r>
      <w:r w:rsidR="000266CE" w:rsidRPr="00557367">
        <w:fldChar w:fldCharType="separate"/>
      </w:r>
      <w:r w:rsidR="000266CE" w:rsidRPr="00557367">
        <w:t>(Coffé, 2013; Shaker, 2012)</w:t>
      </w:r>
      <w:r w:rsidR="000266CE" w:rsidRPr="00557367">
        <w:fldChar w:fldCharType="end"/>
      </w:r>
      <w:r w:rsidR="00C41D2C" w:rsidRPr="00557367">
        <w:t xml:space="preserve">. </w:t>
      </w:r>
      <w:r w:rsidR="005F5FCB" w:rsidRPr="00557367">
        <w:t xml:space="preserve">Two converging analytical routes downplay, implicitly or explicitly, the significance of territorial levels in generalizations and causal explanations about the patterns and sources of political engagement. </w:t>
      </w:r>
    </w:p>
    <w:p w14:paraId="4B3EE088" w14:textId="7C7FB1A5" w:rsidR="009216D1" w:rsidRPr="00557367" w:rsidRDefault="005F5FCB" w:rsidP="00813421">
      <w:pPr>
        <w:ind w:firstLine="708"/>
      </w:pPr>
      <w:r w:rsidRPr="00557367">
        <w:t xml:space="preserve">The first </w:t>
      </w:r>
      <w:r w:rsidR="00C41D2C" w:rsidRPr="00557367">
        <w:t xml:space="preserve">approach </w:t>
      </w:r>
      <w:r w:rsidRPr="00557367">
        <w:t>consists</w:t>
      </w:r>
      <w:r w:rsidR="00C41D2C" w:rsidRPr="00557367">
        <w:t xml:space="preserve"> </w:t>
      </w:r>
      <w:r w:rsidRPr="00557367">
        <w:t>in focusing on engagement</w:t>
      </w:r>
      <w:r w:rsidR="00FB27AD" w:rsidRPr="00557367">
        <w:t xml:space="preserve"> writ large</w:t>
      </w:r>
      <w:r w:rsidRPr="00557367">
        <w:t xml:space="preserve">, regardless of the territorial level at stake </w:t>
      </w:r>
      <w:r w:rsidRPr="00557367">
        <w:fldChar w:fldCharType="begin"/>
      </w:r>
      <w:r w:rsidRPr="00557367">
        <w:instrText xml:space="preserve"> ADDIN ZOTERO_ITEM CSL_CITATION {"citationID":"nmqxRkvq","properties":{"formattedCitation":"(Baybeck, 2014, p. 98)","plainCitation":"(Baybeck, 2014, p. 98)"},"citationItems":[{"id":725,"uris":["http://zotero.org/users/109723/items/SB4KSUDA"],"uri":["http://zotero.org/users/109723/items/SB4KSUDA"],"itemData":{"id":725,"type":"chapter","title":"Local Political Participation","container-title":"The Oxford Handbook of State and Local Government","publisher":"Oxford University Press","publisher-place":"Oxford","page":"95-109","source":"CrossRef","event-place":"Oxford","URL":"http://oxfordindex.oup.com/view/10.1093/oxfordhb/9780199579679.013.009","ISBN":"978-0-19-957967-9","editor":[{"family":"Haider-Markel","given":"Donald P."}],"author":[{"family":"Baybeck","given":"Brady"}],"issued":{"date-parts":[["2014",4,1]]},"accessed":{"date-parts":[["2014",11,21]]}},"locator":"98"}],"schema":"https://github.com/citation-style-language/schema/raw/master/csl-citation.json"} </w:instrText>
      </w:r>
      <w:r w:rsidRPr="00557367">
        <w:fldChar w:fldCharType="separate"/>
      </w:r>
      <w:r w:rsidRPr="00557367">
        <w:t>(Baybeck, 2014, p. 98)</w:t>
      </w:r>
      <w:r w:rsidRPr="00557367">
        <w:fldChar w:fldCharType="end"/>
      </w:r>
      <w:r w:rsidRPr="00557367">
        <w:t xml:space="preserve">. </w:t>
      </w:r>
      <w:r w:rsidR="00B6774D" w:rsidRPr="00557367">
        <w:t>For instance, a</w:t>
      </w:r>
      <w:r w:rsidRPr="00557367">
        <w:t>uthors dealing with political involvement</w:t>
      </w:r>
      <w:r w:rsidR="00667308" w:rsidRPr="00557367">
        <w:t xml:space="preserve"> </w:t>
      </w:r>
      <w:r w:rsidRPr="00557367">
        <w:t xml:space="preserve">frequently take into account actions </w:t>
      </w:r>
      <w:r w:rsidR="00667308" w:rsidRPr="00557367">
        <w:t xml:space="preserve">conducted at </w:t>
      </w:r>
      <w:r w:rsidRPr="00557367">
        <w:t xml:space="preserve">various territorial levels, but then pool them </w:t>
      </w:r>
      <w:r w:rsidR="00667308" w:rsidRPr="00557367">
        <w:t xml:space="preserve">together </w:t>
      </w:r>
      <w:r w:rsidRPr="00557367">
        <w:t xml:space="preserve">into a single </w:t>
      </w:r>
      <w:r w:rsidR="00B6774D" w:rsidRPr="00557367">
        <w:t xml:space="preserve">composite </w:t>
      </w:r>
      <w:r w:rsidRPr="00557367">
        <w:t>dimension</w:t>
      </w:r>
      <w:r w:rsidR="00432CCD" w:rsidRPr="00557367">
        <w:t xml:space="preserve"> </w:t>
      </w:r>
      <w:r w:rsidR="00432CCD" w:rsidRPr="00557367">
        <w:fldChar w:fldCharType="begin"/>
      </w:r>
      <w:r w:rsidR="00432CCD" w:rsidRPr="00557367">
        <w:instrText xml:space="preserve"> ADDIN ZOTERO_ITEM CSL_CITATION {"citationID":"fmkqc2b6c","properties":{"formattedCitation":"(Verba et al., 1995)","plainCitation":"(Verba et al., 1995)"},"citationItems":[{"id":162,"uris":["http://zotero.org/users/109723/items/7R4DBVMR"],"uri":["http://zotero.org/users/109723/items/7R4DBVMR"],"itemData":{"id":162,"type":"book","title":"Voice and Equality: Civic Voluntarism in American Politics","publisher":"Harvard University Press","publisher-place":"Cambridge","number-of-pages":"640","source":"Library of Congress Catalog","event-place":"Cambridge","ISBN":"0-674-94292-2","call-number":"JK1764 .V475 1995","shortTitle":"Voice and Equality","author":[{"family":"Verba","given":"Sidney"},{"family":"Schlozman","given":"Kay Lehman"},{"family":"Brady","given":"Henry E"}],"issued":{"date-parts":[["1995"]]}}}],"schema":"https://github.com/citation-style-language/schema/raw/master/csl-citation.json"} </w:instrText>
      </w:r>
      <w:r w:rsidR="00432CCD" w:rsidRPr="00557367">
        <w:fldChar w:fldCharType="separate"/>
      </w:r>
      <w:r w:rsidR="00432CCD" w:rsidRPr="00557367">
        <w:t>(Verba et al., 1995)</w:t>
      </w:r>
      <w:r w:rsidR="00432CCD" w:rsidRPr="00557367">
        <w:fldChar w:fldCharType="end"/>
      </w:r>
      <w:r w:rsidRPr="00557367">
        <w:t xml:space="preserve">. </w:t>
      </w:r>
      <w:r w:rsidR="00432CCD" w:rsidRPr="00557367">
        <w:t>Also</w:t>
      </w:r>
      <w:r w:rsidRPr="00557367">
        <w:t xml:space="preserve">, the wording of questions upon which </w:t>
      </w:r>
      <w:r w:rsidR="00667308" w:rsidRPr="00557367">
        <w:t xml:space="preserve">survey research </w:t>
      </w:r>
      <w:r w:rsidRPr="00557367">
        <w:t xml:space="preserve">about </w:t>
      </w:r>
      <w:r w:rsidR="00667308" w:rsidRPr="00557367">
        <w:t xml:space="preserve">interest in politics or other variables </w:t>
      </w:r>
      <w:r w:rsidR="00432CCD" w:rsidRPr="00557367">
        <w:t xml:space="preserve">is based </w:t>
      </w:r>
      <w:r w:rsidRPr="00557367">
        <w:fldChar w:fldCharType="begin"/>
      </w:r>
      <w:r w:rsidRPr="00557367">
        <w:instrText xml:space="preserve"> ADDIN ZOTERO_ITEM CSL_CITATION {"citationID":"MsleeJJs","properties":{"formattedCitation":"(Sanders and Bellucci, 2012; van Deth and Elff, 2004)","plainCitation":"(Sanders and Bellucci, 2012; van Deth and Elff, 2004)"},"citationItems":[{"id":710,"uris":["http://zotero.org/users/109723/items/RRAEANFN"],"uri":["http://zotero.org/users/109723/items/RRAEANFN"],"itemData":{"id":710,"type":"article-journal","title":"Politicisation, economic development and political interest in Europe","container-title":"European Journal of Political Research","page":"477-508","volume":"43","issue":"3","source":"Wiley Online Library","abstract":"Abstract.  Political interest is usually depicted as an individual attribute that can be explained by referring to the resources and skills of citizens. The analyses presented here are based on a critical assessment of the explanatory power of these approaches in cross-national and longitudinal comparisons. A contextual model is presented emphasising the relevance of distinct degrees of politicisation and economic development in different societies in addition to traditional sociodemographic factors (education, date of birth and gender) at the microlevel. The resulting multilevel model combines both individual and contextual factors to explain the cross-national differences and changes in political involvement and apathy in Europe in the last three decades. The politicisation thesis, which states that the level of political interest among citizens is an increasing function of the relevance of societal and political arrangements in a society, is not supported by the empirical findings presented here. The most noteworthy conclusion is the remarkable disappearance of the impact of societal politicisation when the level of economic development of each country is included in multilevel models. The level of political interest, then, clearly depends on the level of economic development.","DOI":"10.1111/j.1475-6765.2004.00162.x","ISSN":"1475-6765","language":"en","author":[{"family":"Deth","given":"Jan","non-dropping-particle":"van"},{"family":"Elff","given":"Martin"}],"issued":{"date-parts":[["2004"]]}}},{"id":47,"uris":["http://zotero.org/users/109723/items/3IQ5AG3B"],"uri":["http://zotero.org/users/109723/items/3IQ5AG3B"],"itemData":{"id":47,"type":"chapter","title":"Informal Political Engagement in Europe, 1975–2007","container-title":"Citizens and the European Polity","publisher":"Oxford University Press","publisher-place":"Oxford","page":"39-64","source":"CrossRef","event-place":"Oxford","URL":"http://oxfordindex.oup.com/view/10.1093/acprof:oso/9780199602339.003.0003","ISBN":"978-0-19-960233-9","editor":[{"family":"Sanders","given":"David"},{"family":"Magalhães","given":"Pedro"},{"family":"Toka","given":"Gabor"}],"author":[{"family":"Sanders","given":"David"},{"family":"Bellucci","given":"Paolo"}],"issued":{"date-parts":[["2012",7,26]]},"accessed":{"date-parts":[["2015",2,5]]}}}],"schema":"https://github.com/citation-style-language/schema/raw/master/csl-citation.json"} </w:instrText>
      </w:r>
      <w:r w:rsidRPr="00557367">
        <w:fldChar w:fldCharType="separate"/>
      </w:r>
      <w:r w:rsidRPr="00557367">
        <w:t>(Sanders and Bellucci, 2012; van Deth and Elff, 2004)</w:t>
      </w:r>
      <w:r w:rsidRPr="00557367">
        <w:fldChar w:fldCharType="end"/>
      </w:r>
      <w:r w:rsidRPr="00557367">
        <w:t xml:space="preserve"> </w:t>
      </w:r>
      <w:r w:rsidR="003402BA" w:rsidRPr="00557367">
        <w:t xml:space="preserve">typically </w:t>
      </w:r>
      <w:r w:rsidRPr="00557367">
        <w:t xml:space="preserve">does not refer to a specific territorial level, therefore denoting a </w:t>
      </w:r>
      <w:r w:rsidRPr="00557367">
        <w:rPr>
          <w:i/>
        </w:rPr>
        <w:t>generalist</w:t>
      </w:r>
      <w:r w:rsidRPr="00557367">
        <w:t xml:space="preserve"> engagement with politics</w:t>
      </w:r>
      <w:r w:rsidR="00FB27AD" w:rsidRPr="00557367">
        <w:t xml:space="preserve">. </w:t>
      </w:r>
      <w:r w:rsidR="00536B70" w:rsidRPr="00557367">
        <w:t>The consequence is that scholars end up dealing with the determinants of involvement with politics writ large</w:t>
      </w:r>
      <w:r w:rsidR="009216D1" w:rsidRPr="00557367">
        <w:t xml:space="preserve">, without </w:t>
      </w:r>
      <w:r w:rsidR="00513386" w:rsidRPr="00557367">
        <w:t>probing</w:t>
      </w:r>
      <w:r w:rsidR="009216D1" w:rsidRPr="00557367">
        <w:t xml:space="preserve"> whether their conclusions can be extended </w:t>
      </w:r>
      <w:r w:rsidR="00513386" w:rsidRPr="00557367">
        <w:t xml:space="preserve">to </w:t>
      </w:r>
      <w:r w:rsidR="009216D1" w:rsidRPr="00557367">
        <w:t xml:space="preserve">different jurisdictional scales. </w:t>
      </w:r>
    </w:p>
    <w:p w14:paraId="51F6CB27" w14:textId="725DEA1A" w:rsidR="005F5FCB" w:rsidRPr="00557367" w:rsidRDefault="005F5FCB" w:rsidP="00813421">
      <w:pPr>
        <w:ind w:firstLine="708"/>
      </w:pPr>
      <w:r w:rsidRPr="00557367">
        <w:t xml:space="preserve">The second </w:t>
      </w:r>
      <w:r w:rsidR="009216D1" w:rsidRPr="00557367">
        <w:t xml:space="preserve">strategy </w:t>
      </w:r>
      <w:r w:rsidRPr="00557367">
        <w:t xml:space="preserve">that leads to </w:t>
      </w:r>
      <w:r w:rsidR="00B6774D" w:rsidRPr="00557367">
        <w:t xml:space="preserve">neglecting </w:t>
      </w:r>
      <w:r w:rsidRPr="00557367">
        <w:t xml:space="preserve">the importance of territorial levels </w:t>
      </w:r>
      <w:r w:rsidR="00432CCD" w:rsidRPr="00557367">
        <w:t>is</w:t>
      </w:r>
      <w:r w:rsidRPr="00557367">
        <w:t xml:space="preserve"> dealing exclusively with one of them, which </w:t>
      </w:r>
      <w:r w:rsidR="003402BA" w:rsidRPr="00557367">
        <w:t xml:space="preserve">more </w:t>
      </w:r>
      <w:r w:rsidRPr="00557367">
        <w:t xml:space="preserve">often </w:t>
      </w:r>
      <w:r w:rsidR="003402BA" w:rsidRPr="00557367">
        <w:t xml:space="preserve">than not </w:t>
      </w:r>
      <w:r w:rsidR="009C6DE8" w:rsidRPr="00557367">
        <w:t xml:space="preserve">is </w:t>
      </w:r>
      <w:r w:rsidRPr="00557367">
        <w:t>the national one</w:t>
      </w:r>
      <w:r w:rsidR="00D77B6D" w:rsidRPr="00557367">
        <w:t>.</w:t>
      </w:r>
      <w:r w:rsidR="009216D1" w:rsidRPr="00557367">
        <w:t xml:space="preserve"> In this case, the instruments used to measure political involvement do </w:t>
      </w:r>
      <w:r w:rsidR="00CA5341" w:rsidRPr="00557367">
        <w:t xml:space="preserve">not account for other </w:t>
      </w:r>
      <w:r w:rsidR="00CA5341" w:rsidRPr="00557367">
        <w:lastRenderedPageBreak/>
        <w:t xml:space="preserve">jurisdictional scales, </w:t>
      </w:r>
      <w:r w:rsidR="003B3534" w:rsidRPr="00557367">
        <w:t>making it</w:t>
      </w:r>
      <w:r w:rsidR="00CA5341" w:rsidRPr="00557367">
        <w:t xml:space="preserve"> impossible to trace whether individuals devote comparable levels of </w:t>
      </w:r>
      <w:r w:rsidR="00513386" w:rsidRPr="00557367">
        <w:t>investment</w:t>
      </w:r>
      <w:r w:rsidR="00CA5341" w:rsidRPr="00557367">
        <w:t xml:space="preserve"> to </w:t>
      </w:r>
      <w:r w:rsidR="009C6DE8" w:rsidRPr="00557367">
        <w:t>distinct levels</w:t>
      </w:r>
      <w:r w:rsidR="003B3534" w:rsidRPr="00557367">
        <w:t xml:space="preserve"> of politics</w:t>
      </w:r>
      <w:r w:rsidR="009C6DE8" w:rsidRPr="00557367">
        <w:t xml:space="preserve">. </w:t>
      </w:r>
      <w:r w:rsidR="00CA5341" w:rsidRPr="00557367">
        <w:t>While i</w:t>
      </w:r>
      <w:r w:rsidRPr="00557367">
        <w:t xml:space="preserve">t is hard to dispute that the national level of politics has the highest impact on the lives of the majority of citizens, by focusing only on </w:t>
      </w:r>
      <w:r w:rsidR="003402BA" w:rsidRPr="00557367">
        <w:t xml:space="preserve">it </w:t>
      </w:r>
      <w:r w:rsidRPr="00557367">
        <w:t xml:space="preserve">we may conceal relevant dimensions of how citizens interact with the political realm </w:t>
      </w:r>
      <w:r w:rsidRPr="00557367">
        <w:fldChar w:fldCharType="begin"/>
      </w:r>
      <w:r w:rsidRPr="00557367">
        <w:instrText xml:space="preserve"> ADDIN ZOTERO_ITEM CSL_CITATION {"citationID":"RjzItQie","properties":{"formattedCitation":"{\\rtf (Oliver, 2012, pp. 1\\uc0\\u8211{}2)}","plainCitation":"(Oliver, 2012, pp. 1–2)"},"citationItems":[{"id":412,"uris":["http://zotero.org/users/109723/items/FEPT9QFQ"],"uri":["http://zotero.org/users/109723/items/FEPT9QFQ"],"itemData":{"id":412,"type":"book","title":"Local elections and the politics of small-scale democracy","publisher":"Princeton University Press","publisher-place":"Princeton","source":"Open WorldCat","event-place":"Princeton","ISBN":"978-0-691-14355-2","language":"English","author":[{"family":"Oliver","given":"J. Eric"}],"issued":{"date-parts":[["2012"]]}},"locator":"1-2"}],"schema":"https://github.com/citation-style-language/schema/raw/master/csl-citation.json"} </w:instrText>
      </w:r>
      <w:r w:rsidRPr="00557367">
        <w:fldChar w:fldCharType="separate"/>
      </w:r>
      <w:r w:rsidRPr="00557367">
        <w:t>(Oliver, 2012, pp. 1–2)</w:t>
      </w:r>
      <w:r w:rsidRPr="00557367">
        <w:fldChar w:fldCharType="end"/>
      </w:r>
      <w:r w:rsidRPr="00557367">
        <w:t xml:space="preserve">. </w:t>
      </w:r>
      <w:r w:rsidR="00D77B6D" w:rsidRPr="00557367">
        <w:t xml:space="preserve"> </w:t>
      </w:r>
    </w:p>
    <w:p w14:paraId="5D02A1DF" w14:textId="7EDF87AC" w:rsidR="008B3981" w:rsidRPr="00557367" w:rsidRDefault="001A534F" w:rsidP="00813421">
      <w:pPr>
        <w:ind w:firstLine="708"/>
      </w:pPr>
      <w:r w:rsidRPr="00557367">
        <w:t xml:space="preserve">Over recent years, various </w:t>
      </w:r>
      <w:r w:rsidR="008B3981" w:rsidRPr="00557367">
        <w:t>authors</w:t>
      </w:r>
      <w:r w:rsidR="001E01A7" w:rsidRPr="00557367">
        <w:t xml:space="preserve"> </w:t>
      </w:r>
      <w:r w:rsidRPr="00557367">
        <w:t xml:space="preserve">have offered </w:t>
      </w:r>
      <w:r w:rsidR="00DA4196" w:rsidRPr="00557367">
        <w:t xml:space="preserve">theoretical arguments and </w:t>
      </w:r>
      <w:r w:rsidRPr="00557367">
        <w:t xml:space="preserve">provided </w:t>
      </w:r>
      <w:r w:rsidR="001E01A7" w:rsidRPr="00557367">
        <w:t xml:space="preserve">substantive evidence </w:t>
      </w:r>
      <w:r w:rsidR="008D0F9F" w:rsidRPr="00557367">
        <w:t xml:space="preserve">in support of </w:t>
      </w:r>
      <w:r w:rsidR="00DA4196" w:rsidRPr="00557367">
        <w:t xml:space="preserve">the </w:t>
      </w:r>
      <w:r w:rsidR="001E01A7" w:rsidRPr="00557367">
        <w:t>case</w:t>
      </w:r>
      <w:r w:rsidR="00BE383D" w:rsidRPr="00557367">
        <w:t xml:space="preserve"> </w:t>
      </w:r>
      <w:r w:rsidR="001E01A7" w:rsidRPr="00557367">
        <w:t xml:space="preserve">that </w:t>
      </w:r>
      <w:r w:rsidR="00D77B6D" w:rsidRPr="00557367">
        <w:t xml:space="preserve">the drivers of </w:t>
      </w:r>
      <w:r w:rsidR="005861DD" w:rsidRPr="00557367">
        <w:t>engagement</w:t>
      </w:r>
      <w:r w:rsidR="00E40197" w:rsidRPr="00557367">
        <w:t xml:space="preserve"> </w:t>
      </w:r>
      <w:r w:rsidR="0089303F" w:rsidRPr="00557367">
        <w:t xml:space="preserve">towards </w:t>
      </w:r>
      <w:r w:rsidR="00157783" w:rsidRPr="00557367">
        <w:t xml:space="preserve">distinct </w:t>
      </w:r>
      <w:r w:rsidR="00D77B6D" w:rsidRPr="00557367">
        <w:t xml:space="preserve">levels of politics </w:t>
      </w:r>
      <w:r w:rsidR="001E01A7" w:rsidRPr="00557367">
        <w:rPr>
          <w:i/>
        </w:rPr>
        <w:t xml:space="preserve">do </w:t>
      </w:r>
      <w:r w:rsidR="001E01A7" w:rsidRPr="00557367">
        <w:t>vary</w:t>
      </w:r>
      <w:r w:rsidR="00F33877" w:rsidRPr="00557367">
        <w:rPr>
          <w:i/>
        </w:rPr>
        <w:t>.</w:t>
      </w:r>
      <w:r w:rsidR="00683636" w:rsidRPr="00557367">
        <w:rPr>
          <w:i/>
        </w:rPr>
        <w:t xml:space="preserve"> </w:t>
      </w:r>
      <w:r w:rsidR="00402194" w:rsidRPr="00557367">
        <w:t xml:space="preserve">It </w:t>
      </w:r>
      <w:r w:rsidR="002318D2" w:rsidRPr="00557367">
        <w:t xml:space="preserve">has </w:t>
      </w:r>
      <w:r w:rsidR="00402194" w:rsidRPr="00557367">
        <w:t xml:space="preserve">been </w:t>
      </w:r>
      <w:r w:rsidR="002318D2" w:rsidRPr="00557367">
        <w:t>shown</w:t>
      </w:r>
      <w:r w:rsidR="00402194" w:rsidRPr="00557367">
        <w:t>, for instance,</w:t>
      </w:r>
      <w:r w:rsidR="002318D2" w:rsidRPr="00557367">
        <w:t xml:space="preserve"> that </w:t>
      </w:r>
      <w:r w:rsidR="005861DD" w:rsidRPr="00557367">
        <w:t xml:space="preserve">the gender gap in self-reported </w:t>
      </w:r>
      <w:r w:rsidR="002318D2" w:rsidRPr="00557367">
        <w:t xml:space="preserve">interest </w:t>
      </w:r>
      <w:r w:rsidR="005861DD" w:rsidRPr="00557367">
        <w:t xml:space="preserve">in politics depends </w:t>
      </w:r>
      <w:r w:rsidR="002318D2" w:rsidRPr="00557367">
        <w:t xml:space="preserve">on the </w:t>
      </w:r>
      <w:r w:rsidR="005861DD" w:rsidRPr="00557367">
        <w:t xml:space="preserve">territorial level </w:t>
      </w:r>
      <w:r w:rsidR="00BC735F" w:rsidRPr="00557367">
        <w:t xml:space="preserve">in question </w:t>
      </w:r>
      <w:r w:rsidR="00402194" w:rsidRPr="00557367">
        <w:fldChar w:fldCharType="begin"/>
      </w:r>
      <w:r w:rsidR="00402194" w:rsidRPr="00557367">
        <w:instrText xml:space="preserve"> ADDIN ZOTERO_ITEM CSL_CITATION {"citationID":"O2wqRdH4","properties":{"formattedCitation":"{\\rtf (Coff\\uc0\\u233{}, 2013)}","plainCitation":"(Coffé, 2013)"},"citationItems":[{"id":576,"uris":["http://zotero.org/users/109723/items/KWVVXAJG"],"uri":["http://zotero.org/users/109723/items/KWVVXAJG"],"itemData":{"id":576,"type":"article-journal","title":"Women Stay Local, Men Go National and Global? Gender Differences in Political Interest","container-title":"Sex Roles","page":"323-338","volume":"69","issue":"5-6","source":"ISI Web of Knowledge","abstract":"This study challenges the idea that women are less interested in politics than men by arguing that women are not less interested in politics but, rather, are interested in different issues. I decompose the concept of general political interest into interest in local, national and international issues and investigate gender differences in interest in these different issues, as well as in politics in general. Ordinary Least Squares (OLS) regression analyses, based on data collected in 2011 (British Participation Survey) on a representative sample of British citizens (N = 1,353), reveal no substantial gender difference in interest in local issues. Once political efficacy is controlled for, however, women are more likely than men to be interested in local issues. Furthermore, women are less likely to be interested in national and international issues, as well as politics in general, than men. Further analyses demonstrate that part of the gap in general political interest may be explained by the fact that interest in politics is primarily understood as interest in national politics, an issue in which men are more likely to be interested than women. In summary, the results highlight the need to clarify the concept of 'politics' and to move towards the notion that women and men are interested in different issues, rather than the notion that women are less politically interested than men.","DOI":"10.1007/s11199-013-0308-x","ISSN":"0360-0025","note":"WOS:000323069500008","shortTitle":"Women Stay Local, Men Go National and Global?","journalAbbreviation":"Sex Roles","language":"English","author":[{"family":"Coffé","given":"Hilde"}],"issued":{"date-parts":[["2013",9]]}}}],"schema":"https://github.com/citation-style-language/schema/raw/master/csl-citation.json"} </w:instrText>
      </w:r>
      <w:r w:rsidR="00402194" w:rsidRPr="00557367">
        <w:fldChar w:fldCharType="separate"/>
      </w:r>
      <w:r w:rsidR="00402194" w:rsidRPr="00557367">
        <w:t>(Coffé, 2013)</w:t>
      </w:r>
      <w:r w:rsidR="00402194" w:rsidRPr="00557367">
        <w:fldChar w:fldCharType="end"/>
      </w:r>
      <w:r w:rsidR="002318D2" w:rsidRPr="00557367">
        <w:t xml:space="preserve">. </w:t>
      </w:r>
      <w:r w:rsidR="00402194" w:rsidRPr="00557367">
        <w:t xml:space="preserve">Studies conducted in Finland </w:t>
      </w:r>
      <w:r w:rsidR="00402194" w:rsidRPr="00557367">
        <w:fldChar w:fldCharType="begin"/>
      </w:r>
      <w:r w:rsidR="00402194" w:rsidRPr="00557367">
        <w:instrText xml:space="preserve"> ADDIN ZOTERO_ITEM CSL_CITATION {"citationID":"2iqk1k8asu","properties":{"formattedCitation":"(Rapeli, 2014)","plainCitation":"(Rapeli, 2014)"},"citationItems":[{"id":558,"uris":["http://zotero.org/users/109723/items/K2GF27ND"],"uri":["http://zotero.org/users/109723/items/K2GF27ND"],"itemData":{"id":558,"type":"article-journal","title":"Comparing Local, National and EU Knowledge: The Ignorant Public Reassessed","container-title":"Scandinavian Political Studies","page":"428-446","volume":"37","issue":"4","source":"Wiley Online Library","abstract":"Empirical research has repeatedly confirmed the political ignorance of ordinary citizens, but democracy prevails. This article offers a new perspective into this paradox by arguing that typical political knowledge indicators are inadequate because they only measure national-level knowledge. The study makes two contributions. First, it compares national, local and European Union political knowledge. Second, it does so with a nationally representative dataset, which comes from a survey from Finland (n = 1,020) devoted solely to political knowledge. Two questions are posed: Are the sociodemographic determinants of knowledge the same on all levels of politics? And is public ignorance equally widespread on all levels? Challenging some established findings, the study shows that people in rural communities know more about local politics than urban counterparts, that women know more about local politics than men and that young people are equally knowledgeable about the EU as older people. The results thus indicate that people are to varying extents knowledgeable about varying aspects of politics.","DOI":"10.1111/1467-9477.12032","ISSN":"1467-9477","shortTitle":"Comparing Local, National and EU Knowledge","journalAbbreviation":"Scandinavian Political Studies","language":"en","author":[{"family":"Rapeli","given":"Lauri"}],"issued":{"date-parts":[["2014"]]}}}],"schema":"https://github.com/citation-style-language/schema/raw/master/csl-citation.json"} </w:instrText>
      </w:r>
      <w:r w:rsidR="00402194" w:rsidRPr="00557367">
        <w:fldChar w:fldCharType="separate"/>
      </w:r>
      <w:r w:rsidR="00402194" w:rsidRPr="00557367">
        <w:t>(Rapeli, 2014)</w:t>
      </w:r>
      <w:r w:rsidR="00402194" w:rsidRPr="00557367">
        <w:fldChar w:fldCharType="end"/>
      </w:r>
      <w:r w:rsidR="00402194" w:rsidRPr="00557367">
        <w:t xml:space="preserve"> and the US </w:t>
      </w:r>
      <w:r w:rsidR="00402194" w:rsidRPr="00557367">
        <w:fldChar w:fldCharType="begin"/>
      </w:r>
      <w:r w:rsidR="00402194" w:rsidRPr="00557367">
        <w:instrText xml:space="preserve"> ADDIN ZOTERO_ITEM CSL_CITATION {"citationID":"2m5nf4i62a","properties":{"formattedCitation":"(Shaker, 2012)","plainCitation":"(Shaker, 2012)"},"citationItems":[{"id":910,"uris":["http://zotero.org/users/109723/items/ZP7PFE3B"],"uri":["http://zotero.org/users/109723/items/ZP7PFE3B"],"itemData":{"id":910,"type":"article-journal","title":"Local Political Knowledge and Assessments of Citizen Competence","container-title":"Public Opinion Quarterly","page":"525-537","volume":"76","issue":"3","source":"poq.oxfordjournals.org","abstract":"This article contrasts the national and local political knowledge of a random sample of 993 Philadelphians with the aim of enhancing the scholarly understanding of citizen competence. Empirical study of citizen competence extends back more than fifty years, but the survey data that have been brought to bear upon the topic are almost exclusively focused on national-level politics. Consequently, sweeping conclusions about the competence of the American public rest upon a narrow foundation. The comparisons in this article depict a slew of differences in the distribution of knowledge across national and local politics, many of which challenge established notions of who is politically knowledgeable. This, in turn, has implications for which members of society are seen as politically competent and how competent the public as a whole is thought to be.","DOI":"10.1093/poq/nfs018","ISSN":"0033-362X, 1537-5331","journalAbbreviation":"Public Opin Q","language":"en","author":[{"family":"Shaker","given":"Lee"}],"issued":{"date-parts":[["2012",9,21]]}}}],"schema":"https://github.com/citation-style-language/schema/raw/master/csl-citation.json"} </w:instrText>
      </w:r>
      <w:r w:rsidR="00402194" w:rsidRPr="00557367">
        <w:fldChar w:fldCharType="separate"/>
      </w:r>
      <w:r w:rsidR="00402194" w:rsidRPr="00557367">
        <w:t>(Shaker, 2012)</w:t>
      </w:r>
      <w:r w:rsidR="00402194" w:rsidRPr="00557367">
        <w:fldChar w:fldCharType="end"/>
      </w:r>
      <w:r w:rsidR="00402194" w:rsidRPr="00557367">
        <w:t xml:space="preserve"> demonstrate </w:t>
      </w:r>
      <w:r w:rsidR="002318D2" w:rsidRPr="00557367">
        <w:t xml:space="preserve">that </w:t>
      </w:r>
      <w:r w:rsidR="00402194" w:rsidRPr="00557367">
        <w:t xml:space="preserve">factual </w:t>
      </w:r>
      <w:r w:rsidR="002318D2" w:rsidRPr="00557367">
        <w:t xml:space="preserve">knowledge about politics, a variable closely </w:t>
      </w:r>
      <w:r w:rsidR="00B6774D" w:rsidRPr="00557367">
        <w:t xml:space="preserve">associated </w:t>
      </w:r>
      <w:r w:rsidR="002318D2" w:rsidRPr="00557367">
        <w:t xml:space="preserve">with political engagement, </w:t>
      </w:r>
      <w:r w:rsidR="00BC735F" w:rsidRPr="00557367">
        <w:t xml:space="preserve">is not constant for the same individual </w:t>
      </w:r>
      <w:r w:rsidR="002318D2" w:rsidRPr="00557367">
        <w:t xml:space="preserve">depending on the </w:t>
      </w:r>
      <w:r w:rsidR="00B84673" w:rsidRPr="00557367">
        <w:t xml:space="preserve">jurisdictional scale </w:t>
      </w:r>
      <w:r w:rsidR="002318D2" w:rsidRPr="00557367">
        <w:t xml:space="preserve">at stake. </w:t>
      </w:r>
      <w:r w:rsidR="00F33877" w:rsidRPr="00557367">
        <w:t xml:space="preserve">These </w:t>
      </w:r>
      <w:r w:rsidR="00150FF0" w:rsidRPr="00557367">
        <w:t xml:space="preserve">and other contributions, which are </w:t>
      </w:r>
      <w:r w:rsidR="00B84673" w:rsidRPr="00557367">
        <w:t>reviewed</w:t>
      </w:r>
      <w:r w:rsidR="00150FF0" w:rsidRPr="00557367">
        <w:t xml:space="preserve"> in greater detail in the following section, </w:t>
      </w:r>
      <w:r w:rsidR="00BC735F" w:rsidRPr="00557367">
        <w:t>advocate</w:t>
      </w:r>
      <w:r w:rsidR="007F7A91" w:rsidRPr="00557367">
        <w:t xml:space="preserve"> that </w:t>
      </w:r>
      <w:r w:rsidR="0089303F" w:rsidRPr="00557367">
        <w:t xml:space="preserve">long </w:t>
      </w:r>
      <w:r w:rsidR="00157783" w:rsidRPr="00557367">
        <w:t xml:space="preserve">held </w:t>
      </w:r>
      <w:r w:rsidR="00F33877" w:rsidRPr="00557367">
        <w:t>assumptions</w:t>
      </w:r>
      <w:r w:rsidR="0089303F" w:rsidRPr="00557367">
        <w:t xml:space="preserve"> about the </w:t>
      </w:r>
      <w:r w:rsidR="00E15242" w:rsidRPr="00557367">
        <w:t xml:space="preserve">determinants </w:t>
      </w:r>
      <w:r w:rsidR="00762907" w:rsidRPr="00557367">
        <w:t>of political engagement</w:t>
      </w:r>
      <w:r w:rsidR="007F7A91" w:rsidRPr="00557367">
        <w:t xml:space="preserve"> can </w:t>
      </w:r>
      <w:r w:rsidR="008D0F9F" w:rsidRPr="00557367">
        <w:t xml:space="preserve">and should </w:t>
      </w:r>
      <w:r w:rsidR="007F7A91" w:rsidRPr="00557367">
        <w:t xml:space="preserve">be </w:t>
      </w:r>
      <w:r w:rsidR="00DA4196" w:rsidRPr="00557367">
        <w:t>refined.</w:t>
      </w:r>
      <w:r w:rsidR="00B85012" w:rsidRPr="00557367">
        <w:t xml:space="preserve"> </w:t>
      </w:r>
    </w:p>
    <w:p w14:paraId="192260E8" w14:textId="77777777" w:rsidR="009C6DE8" w:rsidRPr="00557367" w:rsidRDefault="00066AD0" w:rsidP="00813421">
      <w:r w:rsidRPr="00557367">
        <w:t xml:space="preserve">Against </w:t>
      </w:r>
      <w:r w:rsidR="00E32853" w:rsidRPr="00557367">
        <w:t xml:space="preserve">that </w:t>
      </w:r>
      <w:r w:rsidRPr="00557367">
        <w:t>backdrop</w:t>
      </w:r>
      <w:r w:rsidR="00280B3A" w:rsidRPr="00557367">
        <w:t xml:space="preserve">, </w:t>
      </w:r>
      <w:r w:rsidR="00157783" w:rsidRPr="00557367">
        <w:t xml:space="preserve">this </w:t>
      </w:r>
      <w:r w:rsidR="00E32853" w:rsidRPr="00557367">
        <w:t xml:space="preserve">article </w:t>
      </w:r>
      <w:r w:rsidR="00157783" w:rsidRPr="00557367">
        <w:t xml:space="preserve">examines </w:t>
      </w:r>
      <w:r w:rsidR="00C91744" w:rsidRPr="00557367">
        <w:t xml:space="preserve">the </w:t>
      </w:r>
      <w:r w:rsidR="00DD5D37" w:rsidRPr="00557367">
        <w:t xml:space="preserve">frequency of discussion about </w:t>
      </w:r>
      <w:r w:rsidR="00770800" w:rsidRPr="00557367">
        <w:t xml:space="preserve">national and local political matters </w:t>
      </w:r>
      <w:r w:rsidR="008702BE" w:rsidRPr="00557367">
        <w:t xml:space="preserve">in </w:t>
      </w:r>
      <w:r w:rsidR="00B51EB2" w:rsidRPr="00557367">
        <w:t xml:space="preserve">a set of </w:t>
      </w:r>
      <w:r w:rsidR="005C3A20" w:rsidRPr="00557367">
        <w:t xml:space="preserve">European </w:t>
      </w:r>
      <w:r w:rsidR="00DD5D37" w:rsidRPr="00557367">
        <w:t>countries</w:t>
      </w:r>
      <w:r w:rsidR="00D9638E" w:rsidRPr="00557367">
        <w:t>.</w:t>
      </w:r>
      <w:r w:rsidR="008702BE" w:rsidRPr="00557367">
        <w:t xml:space="preserve"> </w:t>
      </w:r>
      <w:r w:rsidR="00713F4C" w:rsidRPr="00557367">
        <w:t xml:space="preserve">Instead of assuming beforehand that </w:t>
      </w:r>
      <w:r w:rsidR="00BC735F" w:rsidRPr="00557367">
        <w:t xml:space="preserve">the determinants of </w:t>
      </w:r>
      <w:r w:rsidR="00DD5D37" w:rsidRPr="00557367">
        <w:t xml:space="preserve">political discussion </w:t>
      </w:r>
      <w:r w:rsidR="00BC735F" w:rsidRPr="00557367">
        <w:t>are</w:t>
      </w:r>
      <w:r w:rsidR="00713F4C" w:rsidRPr="00557367">
        <w:t xml:space="preserve"> one-dimensional – i.e. that </w:t>
      </w:r>
      <w:r w:rsidR="00BC735F" w:rsidRPr="00557367">
        <w:t xml:space="preserve">they do </w:t>
      </w:r>
      <w:r w:rsidR="00713F4C" w:rsidRPr="00557367">
        <w:t xml:space="preserve">not vary depending on the </w:t>
      </w:r>
      <w:r w:rsidR="00BC735F" w:rsidRPr="00557367">
        <w:t xml:space="preserve">territorial </w:t>
      </w:r>
      <w:r w:rsidR="00713F4C" w:rsidRPr="00557367">
        <w:t xml:space="preserve">level </w:t>
      </w:r>
      <w:r w:rsidR="007F7A91" w:rsidRPr="00557367">
        <w:t xml:space="preserve">of government </w:t>
      </w:r>
      <w:r w:rsidR="00713F4C" w:rsidRPr="00557367">
        <w:t xml:space="preserve">at stake – </w:t>
      </w:r>
      <w:r w:rsidR="002B6255" w:rsidRPr="00557367">
        <w:t>we</w:t>
      </w:r>
      <w:r w:rsidR="00713F4C" w:rsidRPr="00557367">
        <w:t xml:space="preserve"> </w:t>
      </w:r>
      <w:r w:rsidR="00DC5896" w:rsidRPr="00557367">
        <w:t>question</w:t>
      </w:r>
      <w:r w:rsidR="00713F4C" w:rsidRPr="00557367">
        <w:t xml:space="preserve"> whether that </w:t>
      </w:r>
      <w:r w:rsidR="002B6255" w:rsidRPr="00557367">
        <w:t xml:space="preserve">is </w:t>
      </w:r>
      <w:r w:rsidR="00713F4C" w:rsidRPr="00557367">
        <w:t>actually</w:t>
      </w:r>
      <w:r w:rsidR="002B6255" w:rsidRPr="00557367">
        <w:t xml:space="preserve"> the case</w:t>
      </w:r>
      <w:r w:rsidR="00713F4C" w:rsidRPr="00557367">
        <w:t xml:space="preserve">. </w:t>
      </w:r>
      <w:r w:rsidR="005861DD" w:rsidRPr="00557367">
        <w:t>The analysis is pursued by examining the roots of different profiles of engagement in local and national politics, therefore allowing us to grasp the origins of qualitatively different forms of political involvement.</w:t>
      </w:r>
    </w:p>
    <w:p w14:paraId="54ADE9E6" w14:textId="50FFAC22" w:rsidR="00E40197" w:rsidRPr="00557367" w:rsidRDefault="001A534F" w:rsidP="00813421">
      <w:r w:rsidRPr="00557367">
        <w:t>The research strategy</w:t>
      </w:r>
      <w:r w:rsidR="002318D2" w:rsidRPr="00557367">
        <w:t xml:space="preserve"> </w:t>
      </w:r>
      <w:r w:rsidR="00E40197" w:rsidRPr="00557367">
        <w:t>introduces three novel aspects</w:t>
      </w:r>
      <w:r w:rsidR="00150FF0" w:rsidRPr="00557367">
        <w:t xml:space="preserve"> </w:t>
      </w:r>
      <w:r w:rsidR="005861DD" w:rsidRPr="00557367">
        <w:t xml:space="preserve">with respect to </w:t>
      </w:r>
      <w:r w:rsidR="00164A3C" w:rsidRPr="00557367">
        <w:t xml:space="preserve">the </w:t>
      </w:r>
      <w:r w:rsidR="005861DD" w:rsidRPr="00557367">
        <w:t>previous literature</w:t>
      </w:r>
      <w:r w:rsidR="009C6DE8" w:rsidRPr="00557367">
        <w:t xml:space="preserve"> about political engagement towards different jurisdictional scales</w:t>
      </w:r>
      <w:r w:rsidR="00E40197" w:rsidRPr="00557367">
        <w:t>. First, rather than examining subjective interest</w:t>
      </w:r>
      <w:r w:rsidR="00164A3C" w:rsidRPr="00557367">
        <w:t xml:space="preserve"> or objective knowledge</w:t>
      </w:r>
      <w:r w:rsidR="00E40197" w:rsidRPr="00557367">
        <w:t xml:space="preserve">, </w:t>
      </w:r>
      <w:r w:rsidR="00150FF0" w:rsidRPr="00557367">
        <w:t xml:space="preserve">it </w:t>
      </w:r>
      <w:r w:rsidR="00164A3C" w:rsidRPr="00557367">
        <w:t>takes a</w:t>
      </w:r>
      <w:r w:rsidR="009C6DE8" w:rsidRPr="00557367">
        <w:t xml:space="preserve"> </w:t>
      </w:r>
      <w:r w:rsidR="003B3534" w:rsidRPr="00557367">
        <w:t xml:space="preserve">new </w:t>
      </w:r>
      <w:r w:rsidR="00164A3C" w:rsidRPr="00557367">
        <w:t>dependent variable</w:t>
      </w:r>
      <w:r w:rsidR="003B3534" w:rsidRPr="00557367">
        <w:t xml:space="preserve"> into focus</w:t>
      </w:r>
      <w:r w:rsidR="00164A3C" w:rsidRPr="00557367">
        <w:t xml:space="preserve">: </w:t>
      </w:r>
      <w:r w:rsidR="00402194" w:rsidRPr="00557367">
        <w:t xml:space="preserve">the </w:t>
      </w:r>
      <w:r w:rsidR="00150FF0" w:rsidRPr="00557367">
        <w:t xml:space="preserve">frequency of </w:t>
      </w:r>
      <w:r w:rsidR="00E40197" w:rsidRPr="00557367">
        <w:t>political discussion</w:t>
      </w:r>
      <w:r w:rsidR="003B3534" w:rsidRPr="00557367">
        <w:t xml:space="preserve">. Political discussion is often used as a proxy for political engagement, yet it has remained overlooked why do some individuals discuss some dimensions of politics more frequently than others. </w:t>
      </w:r>
      <w:r w:rsidR="00164A3C" w:rsidRPr="00557367">
        <w:t xml:space="preserve">Second, the </w:t>
      </w:r>
      <w:r w:rsidR="00B6774D" w:rsidRPr="00557367">
        <w:t xml:space="preserve">empirical analysis </w:t>
      </w:r>
      <w:r w:rsidR="00164A3C" w:rsidRPr="00557367">
        <w:t xml:space="preserve">is not </w:t>
      </w:r>
      <w:r w:rsidR="005A6EA0" w:rsidRPr="00557367">
        <w:t xml:space="preserve">restricted </w:t>
      </w:r>
      <w:r w:rsidR="00164A3C" w:rsidRPr="00557367">
        <w:t xml:space="preserve">to a single country, but </w:t>
      </w:r>
      <w:r w:rsidR="007A5A52" w:rsidRPr="00557367">
        <w:t xml:space="preserve">is instead </w:t>
      </w:r>
      <w:r w:rsidR="00B84673" w:rsidRPr="00557367">
        <w:t>extend</w:t>
      </w:r>
      <w:r w:rsidR="007A5A52" w:rsidRPr="00557367">
        <w:t>ed</w:t>
      </w:r>
      <w:r w:rsidR="00B84673" w:rsidRPr="00557367">
        <w:t xml:space="preserve"> to </w:t>
      </w:r>
      <w:r w:rsidR="00164A3C" w:rsidRPr="00557367">
        <w:t xml:space="preserve">31 European countries, thus offering room for </w:t>
      </w:r>
      <w:r w:rsidR="00BC735F" w:rsidRPr="00557367">
        <w:t>generaliz</w:t>
      </w:r>
      <w:r w:rsidR="007A5A52" w:rsidRPr="00557367">
        <w:t>ing</w:t>
      </w:r>
      <w:r w:rsidR="00BC735F" w:rsidRPr="00557367">
        <w:t xml:space="preserve"> with greater confidence</w:t>
      </w:r>
      <w:r w:rsidR="00164A3C" w:rsidRPr="00557367">
        <w:t xml:space="preserve">. </w:t>
      </w:r>
      <w:r w:rsidR="009C6DE8" w:rsidRPr="00557367">
        <w:t xml:space="preserve">The countries </w:t>
      </w:r>
      <w:r w:rsidR="007A5A52" w:rsidRPr="00557367">
        <w:t xml:space="preserve">under analysis </w:t>
      </w:r>
      <w:r w:rsidR="009C6DE8" w:rsidRPr="00557367">
        <w:t xml:space="preserve">include the member-states </w:t>
      </w:r>
      <w:r w:rsidR="00347889" w:rsidRPr="00557367">
        <w:t xml:space="preserve">of the EU </w:t>
      </w:r>
      <w:r w:rsidR="009C6DE8" w:rsidRPr="00557367">
        <w:t xml:space="preserve">and candidate countries at different stages of their economic and political development, therefore </w:t>
      </w:r>
      <w:r w:rsidR="007A5A52" w:rsidRPr="00557367">
        <w:t>providing</w:t>
      </w:r>
      <w:r w:rsidR="009C6DE8" w:rsidRPr="00557367">
        <w:t xml:space="preserve"> a</w:t>
      </w:r>
      <w:r w:rsidR="00347889" w:rsidRPr="00557367">
        <w:t xml:space="preserve"> wide range of national contexts</w:t>
      </w:r>
      <w:r w:rsidR="009C6DE8" w:rsidRPr="00557367">
        <w:t xml:space="preserve">. </w:t>
      </w:r>
      <w:r w:rsidR="00164A3C" w:rsidRPr="00557367">
        <w:t xml:space="preserve">Third, </w:t>
      </w:r>
      <w:r w:rsidR="005A6EA0" w:rsidRPr="00557367">
        <w:t xml:space="preserve">the article </w:t>
      </w:r>
      <w:r w:rsidR="00164A3C" w:rsidRPr="00557367">
        <w:t xml:space="preserve">tests a broader range of hypotheses </w:t>
      </w:r>
      <w:r w:rsidR="00BC735F" w:rsidRPr="00557367">
        <w:t xml:space="preserve">in comparison with </w:t>
      </w:r>
      <w:r w:rsidR="00164A3C" w:rsidRPr="00557367">
        <w:t>previous</w:t>
      </w:r>
      <w:r w:rsidR="00402194" w:rsidRPr="00557367">
        <w:t xml:space="preserve"> </w:t>
      </w:r>
      <w:r w:rsidR="00B84673" w:rsidRPr="00557367">
        <w:t>research</w:t>
      </w:r>
      <w:r w:rsidR="00402194" w:rsidRPr="00557367">
        <w:t xml:space="preserve">, both at the individual and </w:t>
      </w:r>
      <w:r w:rsidR="006555DF" w:rsidRPr="00557367">
        <w:t>macro-</w:t>
      </w:r>
      <w:r w:rsidR="00402194" w:rsidRPr="00557367">
        <w:t>level</w:t>
      </w:r>
      <w:r w:rsidR="00164A3C" w:rsidRPr="00557367">
        <w:t xml:space="preserve">. </w:t>
      </w:r>
      <w:r w:rsidR="00BC735F" w:rsidRPr="00557367">
        <w:t xml:space="preserve">By testing the </w:t>
      </w:r>
      <w:r w:rsidR="00BC735F" w:rsidRPr="00557367">
        <w:lastRenderedPageBreak/>
        <w:t>impact of economic development and decentralisation we specifically account for the multilevel structure of the data</w:t>
      </w:r>
      <w:r w:rsidR="009C6DE8" w:rsidRPr="00557367">
        <w:t xml:space="preserve"> and are able to understand </w:t>
      </w:r>
      <w:r w:rsidR="00E67F4F" w:rsidRPr="00557367">
        <w:t xml:space="preserve">that </w:t>
      </w:r>
      <w:r w:rsidR="009C6DE8" w:rsidRPr="00557367">
        <w:t xml:space="preserve">variations are due mostly to individual </w:t>
      </w:r>
      <w:r w:rsidR="00E67F4F" w:rsidRPr="00557367">
        <w:t xml:space="preserve">rather than </w:t>
      </w:r>
      <w:r w:rsidR="009C6DE8" w:rsidRPr="00557367">
        <w:t>country-level factors</w:t>
      </w:r>
      <w:r w:rsidR="00E67F4F" w:rsidRPr="00557367">
        <w:t xml:space="preserve"> – </w:t>
      </w:r>
      <w:r w:rsidR="00513386" w:rsidRPr="00557367">
        <w:t xml:space="preserve">contrarily to </w:t>
      </w:r>
      <w:r w:rsidR="00E67F4F" w:rsidRPr="00557367">
        <w:t xml:space="preserve">what research about “generalist” political engagement </w:t>
      </w:r>
      <w:r w:rsidR="00513386" w:rsidRPr="00557367">
        <w:t xml:space="preserve">would make us expect </w:t>
      </w:r>
      <w:r w:rsidR="00E67F4F" w:rsidRPr="00557367">
        <w:fldChar w:fldCharType="begin"/>
      </w:r>
      <w:r w:rsidR="00E67F4F" w:rsidRPr="00557367">
        <w:instrText xml:space="preserve"> ADDIN ZOTERO_ITEM CSL_CITATION {"citationID":"2a7tciuu4h","properties":{"formattedCitation":"(Inglehart, 1990; Sanders and Bellucci, 2012)","plainCitation":"(Inglehart, 1990; Sanders and Bellucci, 2012)"},"citationItems":[{"id":461,"uris":["http://zotero.org/users/109723/items/GT9VTZAZ"],"uri":["http://zotero.org/users/109723/items/GT9VTZAZ"],"itemData":{"id":461,"type":"book","title":"Culture shift in advanced industrial society","publisher":"Princeton University Press","publisher-place":"Princeton, NJ","source":"Open WorldCat","event-place":"Princeton, NJ","ISBN":"978-0-691-07786-4","author":[{"family":"Inglehart","given":"Ronald"}],"issued":{"date-parts":[["1990"]]}}},{"id":47,"uris":["http://zotero.org/users/109723/items/3IQ5AG3B"],"uri":["http://zotero.org/users/109723/items/3IQ5AG3B"],"itemData":{"id":47,"type":"chapter","title":"Informal Political Engagement in Europe, 1975–2007","container-title":"Citizens and the European Polity","publisher":"Oxford University Press","publisher-place":"Oxford","page":"39-64","source":"CrossRef","event-place":"Oxford","URL":"http://oxfordindex.oup.com/view/10.1093/acprof:oso/9780199602339.003.0003","ISBN":"978-0-19-960233-9","editor":[{"family":"Sanders","given":"David"},{"family":"Magalhães","given":"Pedro"},{"family":"Toka","given":"Gabor"}],"author":[{"family":"Sanders","given":"David"},{"family":"Bellucci","given":"Paolo"}],"issued":{"date-parts":[["2012",7,26]]},"accessed":{"date-parts":[["2015",2,5]]}}}],"schema":"https://github.com/citation-style-language/schema/raw/master/csl-citation.json"} </w:instrText>
      </w:r>
      <w:r w:rsidR="00E67F4F" w:rsidRPr="00557367">
        <w:fldChar w:fldCharType="separate"/>
      </w:r>
      <w:r w:rsidR="00E67F4F" w:rsidRPr="00557367">
        <w:t>(Inglehart, 1990; Sanders and Bellucci, 2012)</w:t>
      </w:r>
      <w:r w:rsidR="00E67F4F" w:rsidRPr="00557367">
        <w:fldChar w:fldCharType="end"/>
      </w:r>
      <w:r w:rsidR="00BC735F" w:rsidRPr="00557367">
        <w:t>.</w:t>
      </w:r>
    </w:p>
    <w:p w14:paraId="08E443FC" w14:textId="60EA0A96" w:rsidR="004D1DA3" w:rsidRPr="00557367" w:rsidRDefault="00A43229" w:rsidP="00813421">
      <w:r w:rsidRPr="00557367">
        <w:t xml:space="preserve">The results </w:t>
      </w:r>
      <w:r w:rsidR="00C43245" w:rsidRPr="00557367">
        <w:t xml:space="preserve">show that more than a quarter </w:t>
      </w:r>
      <w:r w:rsidR="009C6DE8" w:rsidRPr="00557367">
        <w:t xml:space="preserve">of individuals </w:t>
      </w:r>
      <w:r w:rsidR="00347889" w:rsidRPr="00557367">
        <w:t xml:space="preserve">report </w:t>
      </w:r>
      <w:r w:rsidR="009C6DE8" w:rsidRPr="00557367">
        <w:t>discuss</w:t>
      </w:r>
      <w:r w:rsidR="00347889" w:rsidRPr="00557367">
        <w:t>ing</w:t>
      </w:r>
      <w:r w:rsidR="009C6DE8" w:rsidRPr="00557367">
        <w:t xml:space="preserve"> local and national political issues </w:t>
      </w:r>
      <w:r w:rsidR="00347889" w:rsidRPr="00557367">
        <w:t xml:space="preserve">with </w:t>
      </w:r>
      <w:r w:rsidR="00B84673" w:rsidRPr="00557367">
        <w:t xml:space="preserve">different </w:t>
      </w:r>
      <w:r w:rsidR="00347889" w:rsidRPr="00557367">
        <w:t>frequenc</w:t>
      </w:r>
      <w:r w:rsidR="00B84673" w:rsidRPr="00557367">
        <w:t>ies</w:t>
      </w:r>
      <w:r w:rsidR="00347889" w:rsidRPr="00557367">
        <w:t>. Interestingly, this is not at the expense of local politics</w:t>
      </w:r>
      <w:r w:rsidR="00B84673" w:rsidRPr="00557367">
        <w:t xml:space="preserve">, which </w:t>
      </w:r>
      <w:r w:rsidR="00C43245" w:rsidRPr="00557367">
        <w:t xml:space="preserve">is </w:t>
      </w:r>
      <w:r w:rsidR="00B84673" w:rsidRPr="00557367">
        <w:t xml:space="preserve">more relevant for a </w:t>
      </w:r>
      <w:r w:rsidR="002836FE" w:rsidRPr="00557367">
        <w:t>significant</w:t>
      </w:r>
      <w:r w:rsidR="00B84673" w:rsidRPr="00557367">
        <w:t xml:space="preserve"> share </w:t>
      </w:r>
      <w:r w:rsidR="006555DF" w:rsidRPr="00557367">
        <w:t xml:space="preserve">(15%) </w:t>
      </w:r>
      <w:r w:rsidR="00B84673" w:rsidRPr="00557367">
        <w:t>of respondents</w:t>
      </w:r>
      <w:r w:rsidR="00347889" w:rsidRPr="00557367">
        <w:t xml:space="preserve">. </w:t>
      </w:r>
      <w:r w:rsidR="007A5A52" w:rsidRPr="00557367">
        <w:t>Besides</w:t>
      </w:r>
      <w:r w:rsidR="00347889" w:rsidRPr="00557367">
        <w:t>, t</w:t>
      </w:r>
      <w:r w:rsidR="00BC735F" w:rsidRPr="00557367">
        <w:t xml:space="preserve">he same </w:t>
      </w:r>
      <w:r w:rsidR="00164A3C" w:rsidRPr="00557367">
        <w:t>factor</w:t>
      </w:r>
      <w:r w:rsidR="00BC735F" w:rsidRPr="00557367">
        <w:t>s</w:t>
      </w:r>
      <w:r w:rsidR="00164A3C" w:rsidRPr="00557367">
        <w:t xml:space="preserve"> </w:t>
      </w:r>
      <w:r w:rsidR="00711BE7" w:rsidRPr="00557367">
        <w:t>can play different</w:t>
      </w:r>
      <w:r w:rsidR="00150FF0" w:rsidRPr="00557367">
        <w:t xml:space="preserve"> roles </w:t>
      </w:r>
      <w:r w:rsidR="00164A3C" w:rsidRPr="00557367">
        <w:t xml:space="preserve">in fostering (or preventing) discussion </w:t>
      </w:r>
      <w:r w:rsidR="00150FF0" w:rsidRPr="00557367">
        <w:t xml:space="preserve">depending on the level at stake. </w:t>
      </w:r>
      <w:r w:rsidR="00347889" w:rsidRPr="00557367">
        <w:t xml:space="preserve">For instance, </w:t>
      </w:r>
      <w:r w:rsidRPr="00557367">
        <w:t>individuals living in rural areas</w:t>
      </w:r>
      <w:r w:rsidR="00347889" w:rsidRPr="00557367">
        <w:t>,</w:t>
      </w:r>
      <w:r w:rsidR="00150FF0" w:rsidRPr="00557367">
        <w:t xml:space="preserve"> </w:t>
      </w:r>
      <w:r w:rsidR="00347889" w:rsidRPr="00557367">
        <w:t xml:space="preserve">all else being equal, </w:t>
      </w:r>
      <w:r w:rsidRPr="00557367">
        <w:t xml:space="preserve">are more likely to </w:t>
      </w:r>
      <w:r w:rsidR="00B20BAE" w:rsidRPr="00557367">
        <w:t xml:space="preserve">discuss </w:t>
      </w:r>
      <w:r w:rsidRPr="00557367">
        <w:t>local political matters</w:t>
      </w:r>
      <w:r w:rsidR="00150FF0" w:rsidRPr="00557367">
        <w:t xml:space="preserve"> then inhabitants of </w:t>
      </w:r>
      <w:r w:rsidR="00B6774D" w:rsidRPr="00557367">
        <w:t>cities</w:t>
      </w:r>
      <w:r w:rsidR="00164A3C" w:rsidRPr="00557367">
        <w:t xml:space="preserve">; </w:t>
      </w:r>
      <w:r w:rsidR="00BC735F" w:rsidRPr="00557367">
        <w:t xml:space="preserve">those with higher educational achievements will be more likely to discuss national politics rather than local politics; and </w:t>
      </w:r>
      <w:r w:rsidR="00B84673" w:rsidRPr="00557367">
        <w:t xml:space="preserve">while </w:t>
      </w:r>
      <w:r w:rsidR="00164A3C" w:rsidRPr="00557367">
        <w:t xml:space="preserve">individuals from richer countries are </w:t>
      </w:r>
      <w:r w:rsidR="00B84673" w:rsidRPr="00557367">
        <w:t xml:space="preserve">slightly </w:t>
      </w:r>
      <w:r w:rsidR="00164A3C" w:rsidRPr="00557367">
        <w:t>more likely to report higher levels of engage</w:t>
      </w:r>
      <w:r w:rsidR="00B6774D" w:rsidRPr="00557367">
        <w:t xml:space="preserve">ment towards national politics, </w:t>
      </w:r>
      <w:r w:rsidR="00C43245" w:rsidRPr="00557367">
        <w:t>the effect of economic development does not seem to be very pronounced</w:t>
      </w:r>
      <w:r w:rsidRPr="00557367">
        <w:t xml:space="preserve">. </w:t>
      </w:r>
      <w:r w:rsidR="000153DF" w:rsidRPr="00557367">
        <w:t xml:space="preserve">Overall, contrariwise to previous research about (generalist) political discussion </w:t>
      </w:r>
      <w:r w:rsidR="000153DF" w:rsidRPr="00557367">
        <w:fldChar w:fldCharType="begin"/>
      </w:r>
      <w:r w:rsidR="000153DF" w:rsidRPr="00557367">
        <w:instrText xml:space="preserve"> ADDIN ZOTERO_ITEM CSL_CITATION {"citationID":"1h0efrfv9s","properties":{"formattedCitation":"(Inglehart, 1990)","plainCitation":"(Inglehart, 1990)"},"citationItems":[{"id":461,"uris":["http://zotero.org/users/109723/items/GT9VTZAZ"],"uri":["http://zotero.org/users/109723/items/GT9VTZAZ"],"itemData":{"id":461,"type":"book","title":"Culture shift in advanced industrial society","publisher":"Princeton University Press","publisher-place":"Princeton, NJ","source":"Open WorldCat","event-place":"Princeton, NJ","ISBN":"978-0-691-07786-4","author":[{"family":"Inglehart","given":"Ronald"}],"issued":{"date-parts":[["1990"]]}}}],"schema":"https://github.com/citation-style-language/schema/raw/master/csl-citation.json"} </w:instrText>
      </w:r>
      <w:r w:rsidR="000153DF" w:rsidRPr="00557367">
        <w:fldChar w:fldCharType="separate"/>
      </w:r>
      <w:r w:rsidR="000153DF" w:rsidRPr="00557367">
        <w:t>(Inglehart, 1990)</w:t>
      </w:r>
      <w:r w:rsidR="000153DF" w:rsidRPr="00557367">
        <w:fldChar w:fldCharType="end"/>
      </w:r>
      <w:r w:rsidR="000153DF" w:rsidRPr="00557367">
        <w:t xml:space="preserve">, levels of involvement </w:t>
      </w:r>
      <w:r w:rsidR="006555DF" w:rsidRPr="00557367">
        <w:t xml:space="preserve">towards different geographic scales </w:t>
      </w:r>
      <w:r w:rsidR="000153DF" w:rsidRPr="00557367">
        <w:t xml:space="preserve">seem to </w:t>
      </w:r>
      <w:r w:rsidR="006555DF" w:rsidRPr="00557367">
        <w:t xml:space="preserve">vary </w:t>
      </w:r>
      <w:r w:rsidR="000153DF" w:rsidRPr="00557367">
        <w:t xml:space="preserve">more </w:t>
      </w:r>
      <w:r w:rsidR="006555DF" w:rsidRPr="00557367">
        <w:t xml:space="preserve">as </w:t>
      </w:r>
      <w:r w:rsidR="000153DF" w:rsidRPr="00557367">
        <w:t xml:space="preserve">a function of individual-level variables rather than macro-level factors. </w:t>
      </w:r>
      <w:r w:rsidR="00164A3C" w:rsidRPr="00557367">
        <w:t xml:space="preserve">These </w:t>
      </w:r>
      <w:r w:rsidR="00B6774D" w:rsidRPr="00557367">
        <w:t xml:space="preserve">and other </w:t>
      </w:r>
      <w:r w:rsidRPr="00557367">
        <w:t xml:space="preserve">findings </w:t>
      </w:r>
      <w:r w:rsidR="00B6774D" w:rsidRPr="00557367">
        <w:t xml:space="preserve">reported </w:t>
      </w:r>
      <w:r w:rsidR="00F812AA" w:rsidRPr="00557367">
        <w:t>in the fifth section</w:t>
      </w:r>
      <w:r w:rsidR="00B6774D" w:rsidRPr="00557367">
        <w:t xml:space="preserve"> </w:t>
      </w:r>
      <w:r w:rsidR="00150FF0" w:rsidRPr="00557367">
        <w:t xml:space="preserve">reinforce </w:t>
      </w:r>
      <w:r w:rsidRPr="00557367">
        <w:t>that political involvement assume</w:t>
      </w:r>
      <w:r w:rsidR="00C43245" w:rsidRPr="00557367">
        <w:t>s</w:t>
      </w:r>
      <w:r w:rsidRPr="00557367">
        <w:t xml:space="preserve"> different shapes, and </w:t>
      </w:r>
      <w:r w:rsidR="00B20BAE" w:rsidRPr="00557367">
        <w:t xml:space="preserve">that </w:t>
      </w:r>
      <w:r w:rsidRPr="00557367">
        <w:t>failing to acknowledge so may introduce a bias in our evaluation of the engagement of society writ large.</w:t>
      </w:r>
      <w:r w:rsidR="008C0484" w:rsidRPr="00557367">
        <w:t xml:space="preserve"> </w:t>
      </w:r>
    </w:p>
    <w:p w14:paraId="08E443FD" w14:textId="54407AEA" w:rsidR="00BB7749" w:rsidRPr="00557367" w:rsidRDefault="00B51EB2" w:rsidP="00813421">
      <w:r w:rsidRPr="00557367">
        <w:t>The</w:t>
      </w:r>
      <w:r w:rsidR="00A43229" w:rsidRPr="00557367">
        <w:t xml:space="preserve"> remainder of the</w:t>
      </w:r>
      <w:r w:rsidRPr="00557367">
        <w:t xml:space="preserve"> </w:t>
      </w:r>
      <w:r w:rsidR="006F5A27">
        <w:t xml:space="preserve">chapter </w:t>
      </w:r>
      <w:r w:rsidR="00BB7749" w:rsidRPr="00557367">
        <w:t xml:space="preserve">is structured as follows. </w:t>
      </w:r>
      <w:r w:rsidR="00D16F05" w:rsidRPr="00557367">
        <w:t xml:space="preserve">The </w:t>
      </w:r>
      <w:r w:rsidR="007239BB" w:rsidRPr="00557367">
        <w:t xml:space="preserve">next </w:t>
      </w:r>
      <w:r w:rsidR="00D16F05" w:rsidRPr="00557367">
        <w:t xml:space="preserve">section </w:t>
      </w:r>
      <w:r w:rsidR="00194E73" w:rsidRPr="00557367">
        <w:t xml:space="preserve">reviews </w:t>
      </w:r>
      <w:r w:rsidR="006951CA" w:rsidRPr="00557367">
        <w:t xml:space="preserve">the </w:t>
      </w:r>
      <w:r w:rsidR="007652ED" w:rsidRPr="00557367">
        <w:t xml:space="preserve">literature about the determinants of (generalist) political discussion and </w:t>
      </w:r>
      <w:r w:rsidR="00194E73" w:rsidRPr="00557367">
        <w:t xml:space="preserve">discusses </w:t>
      </w:r>
      <w:r w:rsidR="002B6255" w:rsidRPr="00557367">
        <w:t xml:space="preserve">the </w:t>
      </w:r>
      <w:r w:rsidR="006951CA" w:rsidRPr="00557367">
        <w:t xml:space="preserve">recent thread of scholarship </w:t>
      </w:r>
      <w:r w:rsidR="00337EE6" w:rsidRPr="00557367">
        <w:t xml:space="preserve">that deals </w:t>
      </w:r>
      <w:r w:rsidR="006951CA" w:rsidRPr="00557367">
        <w:t xml:space="preserve">with </w:t>
      </w:r>
      <w:r w:rsidR="007F7A91" w:rsidRPr="00557367">
        <w:t xml:space="preserve">political behaviour and </w:t>
      </w:r>
      <w:r w:rsidR="006951CA" w:rsidRPr="00557367">
        <w:t xml:space="preserve">attitudes across </w:t>
      </w:r>
      <w:r w:rsidR="008D0F9F" w:rsidRPr="00557367">
        <w:t xml:space="preserve">diverse </w:t>
      </w:r>
      <w:r w:rsidR="00337EE6" w:rsidRPr="00557367">
        <w:t xml:space="preserve">territorial </w:t>
      </w:r>
      <w:r w:rsidR="006951CA" w:rsidRPr="00557367">
        <w:t>levels</w:t>
      </w:r>
      <w:r w:rsidR="008659D2" w:rsidRPr="00557367">
        <w:t xml:space="preserve">. </w:t>
      </w:r>
      <w:r w:rsidR="006951CA" w:rsidRPr="00557367">
        <w:t xml:space="preserve">The </w:t>
      </w:r>
      <w:r w:rsidR="007652ED" w:rsidRPr="00557367">
        <w:t xml:space="preserve">following </w:t>
      </w:r>
      <w:r w:rsidR="006951CA" w:rsidRPr="00557367">
        <w:t xml:space="preserve">section presents the research hypotheses, </w:t>
      </w:r>
      <w:r w:rsidR="002C6843" w:rsidRPr="00557367">
        <w:t xml:space="preserve">and </w:t>
      </w:r>
      <w:r w:rsidR="006951CA" w:rsidRPr="00557367">
        <w:t xml:space="preserve">the </w:t>
      </w:r>
      <w:r w:rsidR="007652ED" w:rsidRPr="00557367">
        <w:t xml:space="preserve">fourth </w:t>
      </w:r>
      <w:r w:rsidR="00DE6AAB" w:rsidRPr="00557367">
        <w:t xml:space="preserve">section </w:t>
      </w:r>
      <w:r w:rsidR="006951CA" w:rsidRPr="00557367">
        <w:t xml:space="preserve">introduces </w:t>
      </w:r>
      <w:r w:rsidR="008659D2" w:rsidRPr="00557367">
        <w:t xml:space="preserve">the data and </w:t>
      </w:r>
      <w:r w:rsidR="006951CA" w:rsidRPr="00557367">
        <w:t xml:space="preserve">models. The </w:t>
      </w:r>
      <w:r w:rsidR="007652ED" w:rsidRPr="00557367">
        <w:t xml:space="preserve">fifth </w:t>
      </w:r>
      <w:r w:rsidR="007239BB" w:rsidRPr="00557367">
        <w:t xml:space="preserve">section </w:t>
      </w:r>
      <w:r w:rsidR="0014712D" w:rsidRPr="00557367">
        <w:t xml:space="preserve">reports </w:t>
      </w:r>
      <w:r w:rsidR="008659D2" w:rsidRPr="00557367">
        <w:t>the results</w:t>
      </w:r>
      <w:r w:rsidR="004D1DA3" w:rsidRPr="00557367">
        <w:t xml:space="preserve"> of the analysis</w:t>
      </w:r>
      <w:r w:rsidR="00337EE6" w:rsidRPr="00557367">
        <w:t>.</w:t>
      </w:r>
      <w:r w:rsidR="006951CA" w:rsidRPr="00557367">
        <w:t xml:space="preserve"> </w:t>
      </w:r>
      <w:r w:rsidR="00337EE6" w:rsidRPr="00557367">
        <w:t>T</w:t>
      </w:r>
      <w:r w:rsidR="00BB7749" w:rsidRPr="00557367">
        <w:t xml:space="preserve">he </w:t>
      </w:r>
      <w:r w:rsidR="00E74C72" w:rsidRPr="00557367">
        <w:t xml:space="preserve">article </w:t>
      </w:r>
      <w:r w:rsidR="00BB7749" w:rsidRPr="00557367">
        <w:t xml:space="preserve">concludes with a discussion about the findings and </w:t>
      </w:r>
      <w:r w:rsidR="008659D2" w:rsidRPr="00557367">
        <w:t xml:space="preserve">what they might imply for </w:t>
      </w:r>
      <w:r w:rsidR="00337EE6" w:rsidRPr="00557367">
        <w:t>our</w:t>
      </w:r>
      <w:r w:rsidR="007239BB" w:rsidRPr="00557367">
        <w:t xml:space="preserve"> </w:t>
      </w:r>
      <w:r w:rsidR="002C6843" w:rsidRPr="00557367">
        <w:t>understanding</w:t>
      </w:r>
      <w:r w:rsidR="00337EE6" w:rsidRPr="00557367">
        <w:t xml:space="preserve"> </w:t>
      </w:r>
      <w:r w:rsidR="006441F8" w:rsidRPr="00557367">
        <w:t xml:space="preserve">of </w:t>
      </w:r>
      <w:r w:rsidR="008D0F9F" w:rsidRPr="00557367">
        <w:t>political engagement.</w:t>
      </w:r>
      <w:r w:rsidR="00DE6AAB" w:rsidRPr="00557367">
        <w:t xml:space="preserve"> </w:t>
      </w:r>
    </w:p>
    <w:p w14:paraId="08E443FE" w14:textId="77777777" w:rsidR="00E74C72" w:rsidRPr="00557367" w:rsidRDefault="00E74C72" w:rsidP="00813421"/>
    <w:p w14:paraId="08E443FF" w14:textId="075796E2" w:rsidR="00134962" w:rsidRPr="00557367" w:rsidRDefault="009158A7" w:rsidP="00813421">
      <w:pPr>
        <w:pStyle w:val="ListParagraph"/>
        <w:numPr>
          <w:ilvl w:val="0"/>
          <w:numId w:val="10"/>
        </w:numPr>
        <w:rPr>
          <w:b/>
        </w:rPr>
      </w:pPr>
      <w:r w:rsidRPr="00557367">
        <w:rPr>
          <w:b/>
        </w:rPr>
        <w:t>Literature review</w:t>
      </w:r>
    </w:p>
    <w:p w14:paraId="359089AE" w14:textId="77777777" w:rsidR="00562FD9" w:rsidRPr="00557367" w:rsidRDefault="00562FD9" w:rsidP="00813421">
      <w:r w:rsidRPr="00557367">
        <w:t xml:space="preserve">Since the emergence of comparative research about political behaviour, it has been noted that political engagement is not uniformly distributed neither across nor within societies  </w:t>
      </w:r>
      <w:r w:rsidRPr="00557367">
        <w:fldChar w:fldCharType="begin"/>
      </w:r>
      <w:r w:rsidRPr="00557367">
        <w:instrText xml:space="preserve"> ADDIN ZOTERO_ITEM CSL_CITATION {"citationID":"d4qeWBkX","properties":{"formattedCitation":"(Almond and Verba, 1965)","plainCitation":"(Almond and Verba, 1965)"},"citationItems":[{"id":537,"uris":["http://zotero.org/users/109723/items/JDH36298"],"uri":["http://zotero.org/users/109723/items/JDH36298"],"itemData":{"id":537,"type":"book","title":"The Civic Culture; Political Attitudes and Democracy in Five Nations","publisher":"Little, Brown","publisher-place":"Boston","number-of-pages":"379","source":"Library of Congress Catalog","event-place":"Boston","call-number":"JA74 .A4 1965","author":[{"family":"Almond","given":"Gabriel A"},{"family":"Verba","given":"Sidney"}],"issued":{"date-parts":[["1965"]],"season":"1963"}}}],"schema":"https://github.com/citation-style-language/schema/raw/master/csl-citation.json"} </w:instrText>
      </w:r>
      <w:r w:rsidRPr="00557367">
        <w:fldChar w:fldCharType="separate"/>
      </w:r>
      <w:r w:rsidRPr="00557367">
        <w:t>(Almond and Verba, 1965)</w:t>
      </w:r>
      <w:r w:rsidRPr="00557367">
        <w:fldChar w:fldCharType="end"/>
      </w:r>
      <w:r w:rsidRPr="00557367">
        <w:t xml:space="preserve">. In trying to understand differences in the degree of involvement with politics, scholars have stressed the importance of an ample set of </w:t>
      </w:r>
      <w:r w:rsidRPr="00557367">
        <w:lastRenderedPageBreak/>
        <w:t xml:space="preserve">individual-level attributes, as well as the relevance of social contexts and institutional settings. Cross-national studies make the case that a thorough understanding of what makes individuals more likely to be engaged in politics must take into account both micro and macro factors </w:t>
      </w:r>
      <w:r w:rsidRPr="00557367">
        <w:fldChar w:fldCharType="begin"/>
      </w:r>
      <w:r w:rsidRPr="00557367">
        <w:instrText xml:space="preserve"> ADDIN ZOTERO_ITEM CSL_CITATION {"citationID":"cCeGwhIe","properties":{"formattedCitation":"(Kittilson and Schwindt-Bayer, 2010; Nir, 2012)","plainCitation":"(Kittilson and Schwindt-Bayer, 2010; Nir, 2012)"},"citationItems":[{"id":2661,"uris":["http://zotero.org/users/109723/items/UKP66PUS"],"uri":["http://zotero.org/users/109723/items/UKP66PUS"],"itemData":{"id":2661,"type":"article-journal","title":"Engaging Citizens: The Role of Power-Sharing Institutions","container-title":"Journal of Politics","page":"990-1002","volume":"72","issue":"4","source":"CrossRef","DOI":"10.1017/S0022381610000484","ISSN":"0022-3816, 1468-2508","shortTitle":"Engaging Citizens","language":"en","author":[{"family":"Kittilson","given":"Miki Caul"},{"family":"Schwindt-Bayer","given":"Leslie"}],"issued":{"date-parts":[["2010",10]]}}},{"id":2657,"uris":["http://zotero.org/users/109723/items/D72CINVF"],"uri":["http://zotero.org/users/109723/items/D72CINVF"],"itemData":{"id":2657,"type":"article-journal","title":"Cross-National Differences in Political Discussion: Can Political Systems Narrow Deliberation Gaps?","container-title":"Journal of Communication","page":"553-570","volume":"62","issue":"3","source":"Wiley Online Library","abstract":"Even though many researchers devoted considerable attention to political discussion and its individual-level antecedents and outcomes, insights are based on single-country studies. Cross-national variations were either never studied or implicitly equated to the U.S. context. This study integrates explanations from communication and comparative politics to test whether political system features (e.g., electoral competitiveness and multiple parties) affect the macrosupply of political information, and thus either amplify or diminish the effects of individual characteristics on discussion. Analyses of cross-national data show system features correlate with greater discussion frequency and moderate the contribution of individual differences to discussion. The potential of systems to narrow gaps in mass public discussion and implications for future research are considered in conclusion.","DOI":"10.1111/j.1460-2466.2012.01648.x","ISSN":"1460-2466","shortTitle":"Cross-National Differences in Political Discussion","language":"en","author":[{"family":"Nir","given":"Lilach"}],"issued":{"date-parts":[["2012",6,1]]}}}],"schema":"https://github.com/citation-style-language/schema/raw/master/csl-citation.json"} </w:instrText>
      </w:r>
      <w:r w:rsidRPr="00557367">
        <w:fldChar w:fldCharType="separate"/>
      </w:r>
      <w:r w:rsidRPr="00557367">
        <w:t>(Kittilson and Schwindt-Bayer, 2010; Nir, 2012)</w:t>
      </w:r>
      <w:r w:rsidRPr="00557367">
        <w:fldChar w:fldCharType="end"/>
      </w:r>
      <w:r w:rsidRPr="00557367">
        <w:t xml:space="preserve">. </w:t>
      </w:r>
    </w:p>
    <w:p w14:paraId="59F1312A" w14:textId="5B3D81D9" w:rsidR="005F733E" w:rsidRPr="00557367" w:rsidRDefault="005F733E" w:rsidP="00813421">
      <w:r w:rsidRPr="00557367">
        <w:t xml:space="preserve">This section </w:t>
      </w:r>
      <w:r w:rsidR="004A7C0F" w:rsidRPr="00557367">
        <w:t xml:space="preserve">presents </w:t>
      </w:r>
      <w:r w:rsidR="002925B9" w:rsidRPr="00557367">
        <w:t xml:space="preserve">two streams of </w:t>
      </w:r>
      <w:r w:rsidR="004A7C0F" w:rsidRPr="00557367">
        <w:t xml:space="preserve">literature </w:t>
      </w:r>
      <w:r w:rsidR="00B6774D" w:rsidRPr="00557367">
        <w:t xml:space="preserve">that inform our research </w:t>
      </w:r>
      <w:r w:rsidR="00A06385" w:rsidRPr="00557367">
        <w:t>hypotheses</w:t>
      </w:r>
      <w:r w:rsidRPr="00557367">
        <w:t xml:space="preserve">. </w:t>
      </w:r>
      <w:r w:rsidR="00866860" w:rsidRPr="00557367">
        <w:t xml:space="preserve">First, </w:t>
      </w:r>
      <w:r w:rsidR="000028E2" w:rsidRPr="00557367">
        <w:t>we overview</w:t>
      </w:r>
      <w:r w:rsidR="00866860" w:rsidRPr="00557367">
        <w:t xml:space="preserve"> the </w:t>
      </w:r>
      <w:r w:rsidRPr="00557367">
        <w:t>determinants of political discussion writ large</w:t>
      </w:r>
      <w:r w:rsidR="00A06385" w:rsidRPr="00557367">
        <w:t xml:space="preserve">, </w:t>
      </w:r>
      <w:r w:rsidR="00866860" w:rsidRPr="00557367">
        <w:t>without taking territorial levels into account.</w:t>
      </w:r>
      <w:r w:rsidR="00FB27AD" w:rsidRPr="00557367">
        <w:t xml:space="preserve"> </w:t>
      </w:r>
      <w:r w:rsidR="000028E2" w:rsidRPr="00557367">
        <w:t>W</w:t>
      </w:r>
      <w:r w:rsidR="002925B9" w:rsidRPr="00557367">
        <w:t xml:space="preserve">e </w:t>
      </w:r>
      <w:r w:rsidR="000028E2" w:rsidRPr="00557367">
        <w:t xml:space="preserve">then </w:t>
      </w:r>
      <w:r w:rsidR="00530235" w:rsidRPr="00557367">
        <w:t xml:space="preserve">discuss </w:t>
      </w:r>
      <w:r w:rsidRPr="00557367">
        <w:t xml:space="preserve">recent </w:t>
      </w:r>
      <w:r w:rsidR="00A06385" w:rsidRPr="00557367">
        <w:t xml:space="preserve">scholarship </w:t>
      </w:r>
      <w:r w:rsidR="00A4655A" w:rsidRPr="00557367">
        <w:t xml:space="preserve">that, while not </w:t>
      </w:r>
      <w:r w:rsidR="00530235" w:rsidRPr="00557367">
        <w:t xml:space="preserve">addressing </w:t>
      </w:r>
      <w:r w:rsidR="00424A57" w:rsidRPr="00557367">
        <w:t xml:space="preserve">the roots of </w:t>
      </w:r>
      <w:r w:rsidR="00A4655A" w:rsidRPr="00557367">
        <w:t xml:space="preserve">political discussion, </w:t>
      </w:r>
      <w:r w:rsidR="00530235" w:rsidRPr="00557367">
        <w:t xml:space="preserve">looks at </w:t>
      </w:r>
      <w:r w:rsidR="002925B9" w:rsidRPr="00557367">
        <w:t xml:space="preserve">related </w:t>
      </w:r>
      <w:r w:rsidR="004A7C0F" w:rsidRPr="00557367">
        <w:t xml:space="preserve">outcomes </w:t>
      </w:r>
      <w:proofErr w:type="gramStart"/>
      <w:r w:rsidR="000028E2" w:rsidRPr="00557367">
        <w:t>taking into account</w:t>
      </w:r>
      <w:proofErr w:type="gramEnd"/>
      <w:r w:rsidR="000028E2" w:rsidRPr="00557367">
        <w:t xml:space="preserve"> differences regarding </w:t>
      </w:r>
      <w:r w:rsidR="00B6774D" w:rsidRPr="00557367">
        <w:t xml:space="preserve">the </w:t>
      </w:r>
      <w:r w:rsidR="00194E73" w:rsidRPr="00557367">
        <w:t>jurisdictional scales</w:t>
      </w:r>
      <w:r w:rsidR="00B6774D" w:rsidRPr="00557367">
        <w:t xml:space="preserve"> at stake</w:t>
      </w:r>
      <w:r w:rsidR="004A7C0F" w:rsidRPr="00557367">
        <w:t>.</w:t>
      </w:r>
      <w:r w:rsidR="00D7346D" w:rsidRPr="00557367">
        <w:t xml:space="preserve"> </w:t>
      </w:r>
    </w:p>
    <w:p w14:paraId="0B2BF8B3" w14:textId="77777777" w:rsidR="005F733E" w:rsidRPr="00557367" w:rsidRDefault="005F733E" w:rsidP="00813421"/>
    <w:p w14:paraId="319CF9ED" w14:textId="7685FEC6" w:rsidR="005F733E" w:rsidRPr="00557367" w:rsidRDefault="00530235" w:rsidP="00813421">
      <w:pPr>
        <w:autoSpaceDE w:val="0"/>
        <w:autoSpaceDN w:val="0"/>
        <w:adjustRightInd w:val="0"/>
        <w:rPr>
          <w:i/>
        </w:rPr>
      </w:pPr>
      <w:r w:rsidRPr="00557367">
        <w:rPr>
          <w:i/>
        </w:rPr>
        <w:t xml:space="preserve">2.1. </w:t>
      </w:r>
      <w:r w:rsidR="002925B9" w:rsidRPr="00557367">
        <w:rPr>
          <w:i/>
        </w:rPr>
        <w:t>(</w:t>
      </w:r>
      <w:r w:rsidR="00B6774D" w:rsidRPr="00557367">
        <w:rPr>
          <w:i/>
        </w:rPr>
        <w:t>G</w:t>
      </w:r>
      <w:r w:rsidR="002925B9" w:rsidRPr="00557367">
        <w:rPr>
          <w:i/>
        </w:rPr>
        <w:t xml:space="preserve">eneralist) </w:t>
      </w:r>
      <w:r w:rsidR="005F733E" w:rsidRPr="00557367">
        <w:rPr>
          <w:i/>
        </w:rPr>
        <w:t>political discussion</w:t>
      </w:r>
      <w:r w:rsidR="00866860" w:rsidRPr="00557367">
        <w:rPr>
          <w:i/>
        </w:rPr>
        <w:t xml:space="preserve"> </w:t>
      </w:r>
      <w:r w:rsidR="00B6774D" w:rsidRPr="00557367">
        <w:rPr>
          <w:i/>
        </w:rPr>
        <w:t>and its determinants</w:t>
      </w:r>
    </w:p>
    <w:p w14:paraId="1FAB9E1B" w14:textId="0DA50A7E" w:rsidR="00310CB0" w:rsidRPr="00557367" w:rsidRDefault="00F16DF8" w:rsidP="00813421">
      <w:pPr>
        <w:autoSpaceDE w:val="0"/>
        <w:autoSpaceDN w:val="0"/>
        <w:adjustRightInd w:val="0"/>
        <w:ind w:firstLine="708"/>
      </w:pPr>
      <w:r w:rsidRPr="00557367">
        <w:t>Frequency of p</w:t>
      </w:r>
      <w:r w:rsidR="006B1F21" w:rsidRPr="00557367">
        <w:t xml:space="preserve">olitical discussion </w:t>
      </w:r>
      <w:r w:rsidR="00194E73" w:rsidRPr="00557367">
        <w:t>holds</w:t>
      </w:r>
      <w:r w:rsidR="006B1F21" w:rsidRPr="00557367">
        <w:t xml:space="preserve"> a singular position among </w:t>
      </w:r>
      <w:r w:rsidR="00A06385" w:rsidRPr="00557367">
        <w:t xml:space="preserve">the </w:t>
      </w:r>
      <w:r w:rsidR="006B1F21" w:rsidRPr="00557367">
        <w:t>variables</w:t>
      </w:r>
      <w:r w:rsidR="00DB0160" w:rsidRPr="00557367">
        <w:t xml:space="preserve"> </w:t>
      </w:r>
      <w:r w:rsidR="00A06385" w:rsidRPr="00557367">
        <w:t xml:space="preserve">measuring </w:t>
      </w:r>
      <w:r w:rsidR="00DB0160" w:rsidRPr="00557367">
        <w:t xml:space="preserve">the </w:t>
      </w:r>
      <w:r w:rsidR="00287975" w:rsidRPr="00557367">
        <w:t xml:space="preserve">political </w:t>
      </w:r>
      <w:r w:rsidR="00DB0160" w:rsidRPr="00557367">
        <w:t>involvement of individuals</w:t>
      </w:r>
      <w:r w:rsidR="000B39B8" w:rsidRPr="00557367">
        <w:t xml:space="preserve"> </w:t>
      </w:r>
      <w:r w:rsidR="0009094A" w:rsidRPr="00557367">
        <w:fldChar w:fldCharType="begin"/>
      </w:r>
      <w:r w:rsidR="0009094A" w:rsidRPr="00557367">
        <w:instrText xml:space="preserve"> ADDIN ZOTERO_ITEM CSL_CITATION {"citationID":"19v1e4GG","properties":{"formattedCitation":"(Gabriel and van Deth, 1995, p. 396)","plainCitation":"(Gabriel and van Deth, 1995, p. 396)"},"citationItems":[{"id":116,"uris":["http://zotero.org/users/109723/items/686VQ3KN"],"uri":["http://zotero.org/users/109723/items/686VQ3KN"],"itemData":{"id":116,"type":"chapter","title":"Political Interest","container-title":"The Impact of Values","publisher":"Oxford University Press","publisher-place":"Oxford","page":"390-411","event-place":"Oxford","author":[{"family":"Gabriel","given":"Oscar W."},{"family":"Deth","given":"Jan","non-dropping-particle":"van"}],"editor":[{"family":"Deth","given":"Jan","non-dropping-particle":"van"},{"family":"Scarbrough","given":"Elinor"}],"issued":{"date-parts":[["1995"]]}},"locator":"396"}],"schema":"https://github.com/citation-style-language/schema/raw/master/csl-citation.json"} </w:instrText>
      </w:r>
      <w:r w:rsidR="0009094A" w:rsidRPr="00557367">
        <w:fldChar w:fldCharType="separate"/>
      </w:r>
      <w:r w:rsidR="0009094A" w:rsidRPr="00557367">
        <w:t>(Gabriel and van Deth, 1995, p. 396)</w:t>
      </w:r>
      <w:r w:rsidR="0009094A" w:rsidRPr="00557367">
        <w:fldChar w:fldCharType="end"/>
      </w:r>
      <w:r w:rsidR="006B1F21" w:rsidRPr="00557367">
        <w:t xml:space="preserve">. </w:t>
      </w:r>
      <w:r w:rsidR="00A4655A" w:rsidRPr="00557367">
        <w:t>Unlike other variable</w:t>
      </w:r>
      <w:r w:rsidR="007652ED" w:rsidRPr="00557367">
        <w:t>s such as (self-reported) level</w:t>
      </w:r>
      <w:r w:rsidR="00141DFD" w:rsidRPr="00557367">
        <w:t>s</w:t>
      </w:r>
      <w:r w:rsidR="00A4655A" w:rsidRPr="00557367">
        <w:t xml:space="preserve"> of interest in politics</w:t>
      </w:r>
      <w:r w:rsidR="006B1F21" w:rsidRPr="00557367">
        <w:t xml:space="preserve">, </w:t>
      </w:r>
      <w:r w:rsidR="00DB0160" w:rsidRPr="00557367">
        <w:t xml:space="preserve">it </w:t>
      </w:r>
      <w:r w:rsidR="000B39B8" w:rsidRPr="00557367">
        <w:t xml:space="preserve">is </w:t>
      </w:r>
      <w:r w:rsidR="00A4655A" w:rsidRPr="00557367">
        <w:t xml:space="preserve">not </w:t>
      </w:r>
      <w:r w:rsidR="003F531B" w:rsidRPr="00557367">
        <w:t>intend</w:t>
      </w:r>
      <w:r w:rsidR="000B39B8" w:rsidRPr="00557367">
        <w:t>ed</w:t>
      </w:r>
      <w:r w:rsidR="003F531B" w:rsidRPr="00557367">
        <w:t xml:space="preserve"> to </w:t>
      </w:r>
      <w:r w:rsidR="00DB0160" w:rsidRPr="00557367">
        <w:t xml:space="preserve">capture an attitude or predisposition, but </w:t>
      </w:r>
      <w:r w:rsidR="00A4655A" w:rsidRPr="00557367">
        <w:t xml:space="preserve">rather </w:t>
      </w:r>
      <w:r w:rsidR="00287975" w:rsidRPr="00557367">
        <w:t xml:space="preserve">the </w:t>
      </w:r>
      <w:r w:rsidR="007652ED" w:rsidRPr="00557367">
        <w:t>respondent</w:t>
      </w:r>
      <w:r w:rsidR="00DA2183" w:rsidRPr="00557367">
        <w:t>s</w:t>
      </w:r>
      <w:r w:rsidR="007652ED" w:rsidRPr="00557367">
        <w:t>’</w:t>
      </w:r>
      <w:r w:rsidR="00DA2183" w:rsidRPr="00557367">
        <w:t xml:space="preserve"> </w:t>
      </w:r>
      <w:r w:rsidR="00287975" w:rsidRPr="00557367">
        <w:t xml:space="preserve">recollection of </w:t>
      </w:r>
      <w:r w:rsidR="007652ED" w:rsidRPr="00557367">
        <w:t xml:space="preserve">their </w:t>
      </w:r>
      <w:r w:rsidR="00DB0160" w:rsidRPr="00557367">
        <w:t xml:space="preserve">actual behaviour. </w:t>
      </w:r>
      <w:r w:rsidR="000028E2" w:rsidRPr="00557367">
        <w:t>Still</w:t>
      </w:r>
      <w:r w:rsidR="00DB0160" w:rsidRPr="00557367">
        <w:t>, “the informal context</w:t>
      </w:r>
      <w:r w:rsidR="000B39B8" w:rsidRPr="00557367">
        <w:t>”</w:t>
      </w:r>
      <w:r w:rsidR="004636CD" w:rsidRPr="00557367">
        <w:t xml:space="preserve"> in which political discussions take place is likely to restrain the potential implications of </w:t>
      </w:r>
      <w:r w:rsidR="00194E73" w:rsidRPr="00557367">
        <w:t xml:space="preserve">that </w:t>
      </w:r>
      <w:r w:rsidR="004636CD" w:rsidRPr="00557367">
        <w:t>behaviour</w:t>
      </w:r>
      <w:r w:rsidR="00194E73" w:rsidRPr="00557367">
        <w:t xml:space="preserve"> </w:t>
      </w:r>
      <w:r w:rsidR="00194E73" w:rsidRPr="00557367">
        <w:fldChar w:fldCharType="begin"/>
      </w:r>
      <w:r w:rsidR="00194E73" w:rsidRPr="00557367">
        <w:instrText xml:space="preserve"> ADDIN ZOTERO_ITEM CSL_CITATION {"citationID":"W07ck0rh","properties":{"formattedCitation":"(Gabriel and van Deth, 1995, p. 396)","plainCitation":"(Gabriel and van Deth, 1995, p. 396)"},"citationItems":[{"id":116,"uris":["http://zotero.org/users/109723/items/686VQ3KN"],"uri":["http://zotero.org/users/109723/items/686VQ3KN"],"itemData":{"id":116,"type":"chapter","title":"Political Interest","container-title":"The Impact of Values","publisher":"Oxford University Press","publisher-place":"Oxford","page":"390-411","event-place":"Oxford","author":[{"family":"Gabriel","given":"Oscar W."},{"family":"Deth","given":"Jan","non-dropping-particle":"van"}],"editor":[{"family":"Deth","given":"Jan","non-dropping-particle":"van"},{"family":"Scarbrough","given":"Elinor"}],"issued":{"date-parts":[["1995"]]}},"locator":"396"}],"schema":"https://github.com/citation-style-language/schema/raw/master/csl-citation.json"} </w:instrText>
      </w:r>
      <w:r w:rsidR="00194E73" w:rsidRPr="00557367">
        <w:fldChar w:fldCharType="separate"/>
      </w:r>
      <w:r w:rsidR="00194E73" w:rsidRPr="00557367">
        <w:t>(Gabriel and van Deth, 1995, p. 396)</w:t>
      </w:r>
      <w:r w:rsidR="00194E73" w:rsidRPr="00557367">
        <w:fldChar w:fldCharType="end"/>
      </w:r>
      <w:r w:rsidR="00287975" w:rsidRPr="00557367">
        <w:t xml:space="preserve">, which is why scholars </w:t>
      </w:r>
      <w:r w:rsidR="003F531B" w:rsidRPr="00557367">
        <w:t xml:space="preserve">generally do not consider </w:t>
      </w:r>
      <w:r w:rsidR="00287975" w:rsidRPr="00557367">
        <w:t xml:space="preserve">it as a form of </w:t>
      </w:r>
      <w:r w:rsidR="00194E73" w:rsidRPr="00557367">
        <w:t xml:space="preserve">proper </w:t>
      </w:r>
      <w:r w:rsidR="00287975" w:rsidRPr="00557367">
        <w:t xml:space="preserve">political participation </w:t>
      </w:r>
      <w:r w:rsidR="00287975" w:rsidRPr="00557367">
        <w:fldChar w:fldCharType="begin"/>
      </w:r>
      <w:r w:rsidR="00287975" w:rsidRPr="00557367">
        <w:instrText xml:space="preserve"> ADDIN ZOTERO_ITEM CSL_CITATION {"citationID":"28mafmilcn","properties":{"formattedCitation":"(Verba et al., 1995, p. 362)","plainCitation":"(Verba et al., 1995, p. 362)"},"citationItems":[{"id":162,"uris":["http://zotero.org/users/109723/items/7R4DBVMR"],"uri":["http://zotero.org/users/109723/items/7R4DBVMR"],"itemData":{"id":162,"type":"book","title":"Voice and Equality: Civic Voluntarism in American Politics","publisher":"Harvard University Press","publisher-place":"Cambridge","number-of-pages":"640","source":"Library of Congress Catalog","event-place":"Cambridge","ISBN":"0-674-94292-2","call-number":"JK1764 .V475 1995","shortTitle":"Voice and Equality","author":[{"family":"Verba","given":"Sidney"},{"family":"Schlozman","given":"Kay Lehman"},{"family":"Brady","given":"Henry E"}],"issued":{"date-parts":[["1995"]]}},"locator":"362"}],"schema":"https://github.com/citation-style-language/schema/raw/master/csl-citation.json"} </w:instrText>
      </w:r>
      <w:r w:rsidR="00287975" w:rsidRPr="00557367">
        <w:fldChar w:fldCharType="separate"/>
      </w:r>
      <w:r w:rsidR="00287975" w:rsidRPr="00557367">
        <w:t>(Verba et al., 1995, p. 362)</w:t>
      </w:r>
      <w:r w:rsidR="00287975" w:rsidRPr="00557367">
        <w:fldChar w:fldCharType="end"/>
      </w:r>
      <w:r w:rsidR="004636CD" w:rsidRPr="00557367">
        <w:t>.</w:t>
      </w:r>
    </w:p>
    <w:p w14:paraId="5F4F6A33" w14:textId="4ACF511B" w:rsidR="00DB0160" w:rsidRPr="00557367" w:rsidRDefault="00424A57" w:rsidP="00813421">
      <w:pPr>
        <w:autoSpaceDE w:val="0"/>
        <w:autoSpaceDN w:val="0"/>
        <w:adjustRightInd w:val="0"/>
        <w:ind w:firstLine="708"/>
      </w:pPr>
      <w:r w:rsidRPr="00557367">
        <w:t>Hence</w:t>
      </w:r>
      <w:r w:rsidR="004636CD" w:rsidRPr="00557367">
        <w:t xml:space="preserve">, </w:t>
      </w:r>
      <w:r w:rsidR="006B1F21" w:rsidRPr="00557367">
        <w:t xml:space="preserve">questions about </w:t>
      </w:r>
      <w:r w:rsidR="000B39B8" w:rsidRPr="00557367">
        <w:t xml:space="preserve">how often individuals engage in </w:t>
      </w:r>
      <w:r w:rsidR="006B1F21" w:rsidRPr="00557367">
        <w:t xml:space="preserve">political discussion are used as a proxy for </w:t>
      </w:r>
      <w:r w:rsidR="007638D1" w:rsidRPr="00557367">
        <w:t>measuring</w:t>
      </w:r>
      <w:r w:rsidR="0008153F" w:rsidRPr="00557367">
        <w:t xml:space="preserve"> “political involvement” </w:t>
      </w:r>
      <w:r w:rsidR="0008153F" w:rsidRPr="00557367">
        <w:fldChar w:fldCharType="begin"/>
      </w:r>
      <w:r w:rsidR="0008153F" w:rsidRPr="00557367">
        <w:instrText xml:space="preserve"> ADDIN ZOTERO_ITEM CSL_CITATION {"citationID":"1bulb804nh","properties":{"formattedCitation":"(Inglehart, 1990, p. 342)","plainCitation":"(Inglehart, 1990, p. 342)"},"citationItems":[{"id":461,"uris":["http://zotero.org/users/109723/items/GT9VTZAZ"],"uri":["http://zotero.org/users/109723/items/GT9VTZAZ"],"itemData":{"id":461,"type":"book","title":"Culture shift in advanced industrial society","publisher":"Princeton University Press","publisher-place":"Princeton, NJ","source":"Open WorldCat","event-place":"Princeton, NJ","ISBN":"978-0-691-07786-4","author":[{"family":"Inglehart","given":"Ronald"}],"issued":{"date-parts":[["1990"]]}},"locator":"342"}],"schema":"https://github.com/citation-style-language/schema/raw/master/csl-citation.json"} </w:instrText>
      </w:r>
      <w:r w:rsidR="0008153F" w:rsidRPr="00557367">
        <w:fldChar w:fldCharType="separate"/>
      </w:r>
      <w:r w:rsidR="0008153F" w:rsidRPr="00557367">
        <w:t>(Inglehart, 1990, p. 342)</w:t>
      </w:r>
      <w:r w:rsidR="0008153F" w:rsidRPr="00557367">
        <w:fldChar w:fldCharType="end"/>
      </w:r>
      <w:r w:rsidR="0008153F" w:rsidRPr="00557367">
        <w:t xml:space="preserve">, </w:t>
      </w:r>
      <w:r w:rsidR="007638D1" w:rsidRPr="00557367">
        <w:t xml:space="preserve"> </w:t>
      </w:r>
      <w:r w:rsidR="00287975" w:rsidRPr="00557367">
        <w:t>“</w:t>
      </w:r>
      <w:r w:rsidR="006B1F21" w:rsidRPr="00557367">
        <w:t>political</w:t>
      </w:r>
      <w:r w:rsidR="00287975" w:rsidRPr="00557367">
        <w:t xml:space="preserve"> interest” </w:t>
      </w:r>
      <w:r w:rsidR="003F531B" w:rsidRPr="00557367">
        <w:fldChar w:fldCharType="begin"/>
      </w:r>
      <w:r w:rsidR="003F531B" w:rsidRPr="00557367">
        <w:instrText xml:space="preserve"> ADDIN ZOTERO_ITEM CSL_CITATION {"citationID":"ag6hlp5kg","properties":{"formattedCitation":"(van Deth and Elff, 2004, p. 480)","plainCitation":"(van Deth and Elff, 2004, p. 480)"},"citationItems":[{"id":710,"uris":["http://zotero.org/users/109723/items/RRAEANFN"],"uri":["http://zotero.org/users/109723/items/RRAEANFN"],"itemData":{"id":710,"type":"article-journal","title":"Politicisation, economic development and political interest in Europe","container-title":"European Journal of Political Research","page":"477-508","volume":"43","issue":"3","source":"Wiley Online Library","abstract":"Abstract.  Political interest is usually depicted as an individual attribute that can be explained by referring to the resources and skills of citizens. The analyses presented here are based on a critical assessment of the explanatory power of these approaches in cross-national and longitudinal comparisons. A contextual model is presented emphasising the relevance of distinct degrees of politicisation and economic development in different societies in addition to traditional sociodemographic factors (education, date of birth and gender) at the microlevel. The resulting multilevel model combines both individual and contextual factors to explain the cross-national differences and changes in political involvement and apathy in Europe in the last three decades. The politicisation thesis, which states that the level of political interest among citizens is an increasing function of the relevance of societal and political arrangements in a society, is not supported by the empirical findings presented here. The most noteworthy conclusion is the remarkable disappearance of the impact of societal politicisation when the level of economic development of each country is included in multilevel models. The level of political interest, then, clearly depends on the level of economic development.","DOI":"10.1111/j.1475-6765.2004.00162.x","ISSN":"1475-6765","language":"en","author":[{"family":"Deth","given":"Jan","non-dropping-particle":"van"},{"family":"Elff","given":"Martin"}],"issued":{"date-parts":[["2004"]]}},"locator":"480"}],"schema":"https://github.com/citation-style-language/schema/raw/master/csl-citation.json"} </w:instrText>
      </w:r>
      <w:r w:rsidR="003F531B" w:rsidRPr="00557367">
        <w:fldChar w:fldCharType="separate"/>
      </w:r>
      <w:r w:rsidR="003F531B" w:rsidRPr="00557367">
        <w:t>(van Deth and Elff, 2004, p. 480)</w:t>
      </w:r>
      <w:r w:rsidR="003F531B" w:rsidRPr="00557367">
        <w:fldChar w:fldCharType="end"/>
      </w:r>
      <w:r w:rsidR="003F531B" w:rsidRPr="00557367">
        <w:t xml:space="preserve"> </w:t>
      </w:r>
      <w:r w:rsidR="00287975" w:rsidRPr="00557367">
        <w:t>or “informal political engagement”</w:t>
      </w:r>
      <w:r w:rsidR="003F531B" w:rsidRPr="00557367">
        <w:t xml:space="preserve"> </w:t>
      </w:r>
      <w:r w:rsidR="003F531B" w:rsidRPr="00557367">
        <w:fldChar w:fldCharType="begin"/>
      </w:r>
      <w:r w:rsidR="003F531B" w:rsidRPr="00557367">
        <w:instrText xml:space="preserve"> ADDIN ZOTERO_ITEM CSL_CITATION {"citationID":"18gcjskjt9","properties":{"formattedCitation":"(Sanders and Bellucci, 2012)","plainCitation":"(Sanders and Bellucci, 2012)"},"citationItems":[{"id":47,"uris":["http://zotero.org/users/109723/items/3IQ5AG3B"],"uri":["http://zotero.org/users/109723/items/3IQ5AG3B"],"itemData":{"id":47,"type":"chapter","title":"Informal Political Engagement in Europe, 1975–2007","container-title":"Citizens and the European Polity","publisher":"Oxford University Press","publisher-place":"Oxford","page":"39-64","source":"CrossRef","event-place":"Oxford","URL":"http://oxfordindex.oup.com/view/10.1093/acprof:oso/9780199602339.003.0003","ISBN":"978-0-19-960233-9","editor":[{"family":"Sanders","given":"David"},{"family":"Magalhães","given":"Pedro"},{"family":"Toka","given":"Gabor"}],"author":[{"family":"Sanders","given":"David"},{"family":"Bellucci","given":"Paolo"}],"issued":{"date-parts":[["2012",7,26]]},"accessed":{"date-parts":[["2015",2,5]]}}}],"schema":"https://github.com/citation-style-language/schema/raw/master/csl-citation.json"} </w:instrText>
      </w:r>
      <w:r w:rsidR="003F531B" w:rsidRPr="00557367">
        <w:fldChar w:fldCharType="separate"/>
      </w:r>
      <w:r w:rsidR="003F531B" w:rsidRPr="00557367">
        <w:t>(Sanders and Bellucci, 2012)</w:t>
      </w:r>
      <w:r w:rsidR="003F531B" w:rsidRPr="00557367">
        <w:fldChar w:fldCharType="end"/>
      </w:r>
      <w:r w:rsidR="006B1F21" w:rsidRPr="00557367">
        <w:t xml:space="preserve">: respondents </w:t>
      </w:r>
      <w:r w:rsidR="000028E2" w:rsidRPr="00557367">
        <w:t xml:space="preserve">that </w:t>
      </w:r>
      <w:r w:rsidR="006B1F21" w:rsidRPr="00557367">
        <w:t>state they discuss politics frequently</w:t>
      </w:r>
      <w:r w:rsidR="004636CD" w:rsidRPr="00557367">
        <w:t xml:space="preserve"> can be </w:t>
      </w:r>
      <w:r w:rsidR="006B1F21" w:rsidRPr="00557367">
        <w:t>assume</w:t>
      </w:r>
      <w:r w:rsidR="004636CD" w:rsidRPr="00557367">
        <w:t>d</w:t>
      </w:r>
      <w:r w:rsidR="006B1F21" w:rsidRPr="00557367">
        <w:t xml:space="preserve"> </w:t>
      </w:r>
      <w:r w:rsidR="000028E2" w:rsidRPr="00557367">
        <w:t xml:space="preserve">to be </w:t>
      </w:r>
      <w:r w:rsidR="000B39B8" w:rsidRPr="00557367">
        <w:t xml:space="preserve">more </w:t>
      </w:r>
      <w:r w:rsidR="0008153F" w:rsidRPr="00557367">
        <w:t xml:space="preserve">involved in </w:t>
      </w:r>
      <w:r w:rsidR="00DB0160" w:rsidRPr="00557367">
        <w:t>politics</w:t>
      </w:r>
      <w:r w:rsidR="000B39B8" w:rsidRPr="00557367">
        <w:t xml:space="preserve"> than those who report never </w:t>
      </w:r>
      <w:r w:rsidR="00194E73" w:rsidRPr="00557367">
        <w:t>doing so</w:t>
      </w:r>
      <w:r w:rsidR="006B1F21" w:rsidRPr="00557367">
        <w:t xml:space="preserve">. </w:t>
      </w:r>
      <w:r w:rsidR="00DC0EB6" w:rsidRPr="00557367">
        <w:t>F</w:t>
      </w:r>
      <w:r w:rsidR="00DB0160" w:rsidRPr="00557367">
        <w:t xml:space="preserve">actor </w:t>
      </w:r>
      <w:r w:rsidR="006B1F21" w:rsidRPr="00557367">
        <w:t xml:space="preserve">analysis </w:t>
      </w:r>
      <w:r w:rsidR="00530235" w:rsidRPr="00557367">
        <w:fldChar w:fldCharType="begin"/>
      </w:r>
      <w:r w:rsidR="00530235" w:rsidRPr="00557367">
        <w:instrText xml:space="preserve"> ADDIN ZOTERO_ITEM CSL_CITATION {"citationID":"1b2o221rrl","properties":{"formattedCitation":"(Kittilson and Schwindt-Bayer, 2010, p. 995)","plainCitation":"(Kittilson and Schwindt-Bayer, 2010, p. 995)"},"citationItems":[{"id":2661,"uris":["http://zotero.org/users/109723/items/UKP66PUS"],"uri":["http://zotero.org/users/109723/items/UKP66PUS"],"itemData":{"id":2661,"type":"article-journal","title":"Engaging Citizens: The Role of Power-Sharing Institutions","container-title":"Journal of Politics","page":"990-1002","volume":"72","issue":"4","source":"CrossRef","DOI":"10.1017/S0022381610000484","ISSN":"0022-3816, 1468-2508","shortTitle":"Engaging Citizens","language":"en","author":[{"family":"Kittilson","given":"Miki Caul"},{"family":"Schwindt-Bayer","given":"Leslie"}],"issued":{"date-parts":[["2010",10]]}},"locator":"995"}],"schema":"https://github.com/citation-style-language/schema/raw/master/csl-citation.json"} </w:instrText>
      </w:r>
      <w:r w:rsidR="00530235" w:rsidRPr="00557367">
        <w:fldChar w:fldCharType="separate"/>
      </w:r>
      <w:r w:rsidR="00530235" w:rsidRPr="00557367">
        <w:t>(Kittilson and Schwindt-Bayer, 2010, p. 995)</w:t>
      </w:r>
      <w:r w:rsidR="00530235" w:rsidRPr="00557367">
        <w:fldChar w:fldCharType="end"/>
      </w:r>
      <w:r w:rsidR="00530235" w:rsidRPr="00557367">
        <w:t xml:space="preserve"> </w:t>
      </w:r>
      <w:r w:rsidR="00DC0EB6" w:rsidRPr="00557367">
        <w:t xml:space="preserve">corroborates </w:t>
      </w:r>
      <w:r w:rsidR="006B1F21" w:rsidRPr="00557367">
        <w:t xml:space="preserve">that </w:t>
      </w:r>
      <w:r w:rsidR="004636CD" w:rsidRPr="00557367">
        <w:t xml:space="preserve">frequency of political discussion and </w:t>
      </w:r>
      <w:r w:rsidR="000B39B8" w:rsidRPr="00557367">
        <w:t>(</w:t>
      </w:r>
      <w:r w:rsidR="004636CD" w:rsidRPr="00557367">
        <w:t>self-reported</w:t>
      </w:r>
      <w:r w:rsidR="000B39B8" w:rsidRPr="00557367">
        <w:t>)</w:t>
      </w:r>
      <w:r w:rsidR="004636CD" w:rsidRPr="00557367">
        <w:t xml:space="preserve"> interest in politics </w:t>
      </w:r>
      <w:r w:rsidR="006B1F21" w:rsidRPr="00557367">
        <w:t xml:space="preserve">are indeed </w:t>
      </w:r>
      <w:r w:rsidR="004636CD" w:rsidRPr="00557367">
        <w:t xml:space="preserve">highly </w:t>
      </w:r>
      <w:r w:rsidR="006B1F21" w:rsidRPr="00557367">
        <w:t>correlated</w:t>
      </w:r>
      <w:r w:rsidR="003F531B" w:rsidRPr="00557367">
        <w:t>.</w:t>
      </w:r>
      <w:r w:rsidR="00DB0160" w:rsidRPr="00557367">
        <w:t xml:space="preserve"> </w:t>
      </w:r>
    </w:p>
    <w:p w14:paraId="7EC5AD03" w14:textId="0B3E54AC" w:rsidR="00F221F9" w:rsidRPr="00557367" w:rsidRDefault="00F946D9" w:rsidP="00813421">
      <w:r w:rsidRPr="00557367">
        <w:t xml:space="preserve">Widespread public involvement with political matters is generally understood as being positive, and the declining trend in recent decades of variables like voter turnout and civil society membership is interpreted as a potential threat to the quality of democracy </w:t>
      </w:r>
      <w:r w:rsidRPr="00557367">
        <w:fldChar w:fldCharType="begin"/>
      </w:r>
      <w:r w:rsidRPr="00557367">
        <w:instrText xml:space="preserve"> ADDIN ZOTERO_ITEM CSL_CITATION {"citationID":"fPyxBQXo","properties":{"formattedCitation":"(Putnam, 2000; Stolle and Hooghe, 2005)","plainCitation":"(Putnam, 2000; Stolle and Hooghe, 2005)"},"citationItems":[{"id":267,"uris":["http://zotero.org/users/109723/items/B2PFV38V"],"uri":["http://zotero.org/users/109723/items/B2PFV38V"],"itemData":{"id":267,"type":"book","title":"Bowling Alone: The Collapse and Revival of American Community","publisher":"Simon &amp; Schuster","publisher-place":"New York","number-of-pages":"541","source":"Library of Congress Catalog","event-place":"New York","ISBN":"0-684-83283-6","call-number":"HN65 .P878 2000","shortTitle":"Bowling Alone","author":[{"family":"Putnam","given":"Robert"}],"issued":{"date-parts":[["2000"]]}}},{"id":1605,"uris":["http://zotero.org/users/109723/items/GXAFHDCR"],"uri":["http://zotero.org/users/109723/items/GXAFHDCR"],"itemData":{"id":1605,"type":"article-journal","title":"Inaccurate, Exceptional, One-Sided or Irrelevant? The Debate about the Alleged Decline of Social Capital and Civic Engagement in Western Societies","container-title":"British Journal of Political Science","page":"149-167","volume":"35","issue":"1","source":"JSTOR","ISSN":"0007-1234","shortTitle":"Inaccurate, Exceptional, One-Sided or Irrelevant?","journalAbbreviation":"British Journal of Political Science","author":[{"family":"Stolle","given":"Dietlind"},{"family":"Hooghe","given":"Marc"}],"issued":{"date-parts":[["2005",1,1]]}}}],"schema":"https://github.com/citation-style-language/schema/raw/master/csl-citation.json"} </w:instrText>
      </w:r>
      <w:r w:rsidRPr="00557367">
        <w:fldChar w:fldCharType="separate"/>
      </w:r>
      <w:r w:rsidRPr="00557367">
        <w:t>(Putnam, 2000; Stolle and Hooghe, 2005)</w:t>
      </w:r>
      <w:r w:rsidRPr="00557367">
        <w:fldChar w:fldCharType="end"/>
      </w:r>
      <w:r w:rsidRPr="00557367">
        <w:t xml:space="preserve">. Interestingly, while </w:t>
      </w:r>
      <w:r w:rsidR="000028E2" w:rsidRPr="00557367">
        <w:t>it is established that</w:t>
      </w:r>
      <w:r w:rsidRPr="00557367">
        <w:t xml:space="preserve"> “formal” involvement in politics is in decline, the </w:t>
      </w:r>
      <w:r w:rsidR="00194E73" w:rsidRPr="00557367">
        <w:t xml:space="preserve">reported </w:t>
      </w:r>
      <w:r w:rsidRPr="00557367">
        <w:t xml:space="preserve">frequency of political discussion has not decreased in </w:t>
      </w:r>
      <w:r w:rsidR="00530235" w:rsidRPr="00557367">
        <w:t xml:space="preserve">a comparable vein </w:t>
      </w:r>
      <w:r w:rsidRPr="00557367">
        <w:fldChar w:fldCharType="begin"/>
      </w:r>
      <w:r w:rsidRPr="00557367">
        <w:instrText xml:space="preserve"> ADDIN ZOTERO_ITEM CSL_CITATION {"citationID":"bpPgQ62j","properties":{"formattedCitation":"(Sanders and Bellucci, 2012)","plainCitation":"(Sanders and Bellucci, 2012)"},"citationItems":[{"id":47,"uris":["http://zotero.org/users/109723/items/3IQ5AG3B"],"uri":["http://zotero.org/users/109723/items/3IQ5AG3B"],"itemData":{"id":47,"type":"chapter","title":"Informal Political Engagement in Europe, 1975–2007","container-title":"Citizens and the European Polity","publisher":"Oxford University Press","publisher-place":"Oxford","page":"39-64","source":"CrossRef","event-place":"Oxford","URL":"http://oxfordindex.oup.com/view/10.1093/acprof:oso/9780199602339.003.0003","ISBN":"978-0-19-960233-9","editor":[{"family":"Sanders","given":"David"},{"family":"Magalhães","given":"Pedro"},{"family":"Toka","given":"Gabor"}],"author":[{"family":"Sanders","given":"David"},{"family":"Bellucci","given":"Paolo"}],"issued":{"date-parts":[["2012",7,26]]},"accessed":{"date-parts":[["2015",2,5]]}}}],"schema":"https://github.com/citation-style-language/schema/raw/master/csl-citation.json"} </w:instrText>
      </w:r>
      <w:r w:rsidRPr="00557367">
        <w:fldChar w:fldCharType="separate"/>
      </w:r>
      <w:r w:rsidRPr="00557367">
        <w:t>(Sanders and Bellucci, 2012)</w:t>
      </w:r>
      <w:r w:rsidRPr="00557367">
        <w:fldChar w:fldCharType="end"/>
      </w:r>
      <w:r w:rsidRPr="00557367">
        <w:t xml:space="preserve">. Therefore, while “formal” and “informal” engagement are often </w:t>
      </w:r>
      <w:r w:rsidR="000028E2" w:rsidRPr="00557367">
        <w:t xml:space="preserve">found </w:t>
      </w:r>
      <w:r w:rsidRPr="00557367">
        <w:t xml:space="preserve">to be correlated at </w:t>
      </w:r>
      <w:r w:rsidRPr="00557367">
        <w:lastRenderedPageBreak/>
        <w:t xml:space="preserve">the individual level, their </w:t>
      </w:r>
      <w:r w:rsidR="00DC0EB6" w:rsidRPr="00557367">
        <w:t xml:space="preserve">degree of </w:t>
      </w:r>
      <w:r w:rsidRPr="00557367">
        <w:t xml:space="preserve">association is not </w:t>
      </w:r>
      <w:r w:rsidR="000028E2" w:rsidRPr="00557367">
        <w:t>static from a</w:t>
      </w:r>
      <w:r w:rsidR="00141DFD" w:rsidRPr="00557367">
        <w:t xml:space="preserve"> macro</w:t>
      </w:r>
      <w:r w:rsidR="00DC0EB6" w:rsidRPr="00557367">
        <w:t>,</w:t>
      </w:r>
      <w:r w:rsidR="000028E2" w:rsidRPr="00557367">
        <w:t xml:space="preserve"> </w:t>
      </w:r>
      <w:r w:rsidRPr="00557367">
        <w:t>longitudinal</w:t>
      </w:r>
      <w:r w:rsidR="000028E2" w:rsidRPr="00557367">
        <w:t xml:space="preserve"> </w:t>
      </w:r>
      <w:r w:rsidR="00141DFD" w:rsidRPr="00557367">
        <w:t>perspective</w:t>
      </w:r>
      <w:r w:rsidRPr="00557367">
        <w:t xml:space="preserve">. </w:t>
      </w:r>
    </w:p>
    <w:p w14:paraId="40A834E4" w14:textId="65DFBF4A" w:rsidR="00390A10" w:rsidRPr="00557367" w:rsidRDefault="00B6774D" w:rsidP="00813421">
      <w:r w:rsidRPr="00557367">
        <w:t xml:space="preserve">Although not </w:t>
      </w:r>
      <w:r w:rsidR="00141DFD" w:rsidRPr="00557367">
        <w:t xml:space="preserve">being </w:t>
      </w:r>
      <w:r w:rsidR="00F946D9" w:rsidRPr="00557367">
        <w:t xml:space="preserve">as central a topic in the literature as voter turnout or other modes of political participation, the volume of research aimed at </w:t>
      </w:r>
      <w:r w:rsidR="00530235" w:rsidRPr="00557367">
        <w:t xml:space="preserve">unveiling specifically </w:t>
      </w:r>
      <w:r w:rsidR="00F946D9" w:rsidRPr="00557367">
        <w:t>the roots of political discussion has increased in recent years</w:t>
      </w:r>
      <w:r w:rsidR="00F946D9" w:rsidRPr="00813421">
        <w:rPr>
          <w:rStyle w:val="FootnoteReference"/>
        </w:rPr>
        <w:footnoteReference w:id="1"/>
      </w:r>
      <w:r w:rsidR="00F221F9" w:rsidRPr="00557367">
        <w:t xml:space="preserve">. </w:t>
      </w:r>
      <w:r w:rsidR="007652ED" w:rsidRPr="00557367">
        <w:t>I</w:t>
      </w:r>
      <w:r w:rsidR="00BB1D5A" w:rsidRPr="00557367">
        <w:t>t is now accepted that both individual and macro-level factors play a role</w:t>
      </w:r>
      <w:r w:rsidR="0008153F" w:rsidRPr="00557367">
        <w:t xml:space="preserve"> </w:t>
      </w:r>
      <w:r w:rsidR="00F946D9" w:rsidRPr="00557367">
        <w:t xml:space="preserve">in fostering political discussion </w:t>
      </w:r>
      <w:r w:rsidR="0008153F" w:rsidRPr="00557367">
        <w:fldChar w:fldCharType="begin"/>
      </w:r>
      <w:r w:rsidR="0008153F" w:rsidRPr="00557367">
        <w:instrText xml:space="preserve"> ADDIN ZOTERO_ITEM CSL_CITATION {"citationID":"8sqke6ada","properties":{"formattedCitation":"(Inglehart, 1990)","plainCitation":"(Inglehart, 1990)"},"citationItems":[{"id":461,"uris":["http://zotero.org/users/109723/items/GT9VTZAZ"],"uri":["http://zotero.org/users/109723/items/GT9VTZAZ"],"itemData":{"id":461,"type":"book","title":"Culture shift in advanced industrial society","publisher":"Princeton University Press","publisher-place":"Princeton, NJ","source":"Open WorldCat","event-place":"Princeton, NJ","ISBN":"978-0-691-07786-4","author":[{"family":"Inglehart","given":"Ronald"}],"issued":{"date-parts":[["1990"]]}}}],"schema":"https://github.com/citation-style-language/schema/raw/master/csl-citation.json"} </w:instrText>
      </w:r>
      <w:r w:rsidR="0008153F" w:rsidRPr="00557367">
        <w:fldChar w:fldCharType="separate"/>
      </w:r>
      <w:r w:rsidR="0008153F" w:rsidRPr="00557367">
        <w:t>(Inglehart, 1990)</w:t>
      </w:r>
      <w:r w:rsidR="0008153F" w:rsidRPr="00557367">
        <w:fldChar w:fldCharType="end"/>
      </w:r>
      <w:r w:rsidR="00BB1D5A" w:rsidRPr="00557367">
        <w:t xml:space="preserve">. </w:t>
      </w:r>
      <w:r w:rsidR="002C09DB" w:rsidRPr="00557367">
        <w:t xml:space="preserve">The literature presents some lines of overall convergence, but there </w:t>
      </w:r>
      <w:r w:rsidR="00F946D9" w:rsidRPr="00557367">
        <w:t xml:space="preserve">is still disagreement </w:t>
      </w:r>
      <w:r w:rsidR="002C09DB" w:rsidRPr="00557367">
        <w:t xml:space="preserve">regarding </w:t>
      </w:r>
      <w:r w:rsidR="00F946D9" w:rsidRPr="00557367">
        <w:t xml:space="preserve">the </w:t>
      </w:r>
      <w:r w:rsidR="007652ED" w:rsidRPr="00557367">
        <w:t xml:space="preserve">magnitude </w:t>
      </w:r>
      <w:r w:rsidR="00F946D9" w:rsidRPr="00557367">
        <w:t xml:space="preserve">and </w:t>
      </w:r>
      <w:r w:rsidR="00390A10" w:rsidRPr="00557367">
        <w:t>direction</w:t>
      </w:r>
      <w:r w:rsidR="00F946D9" w:rsidRPr="00557367">
        <w:t xml:space="preserve"> of some effects</w:t>
      </w:r>
      <w:r w:rsidR="002C09DB" w:rsidRPr="00557367">
        <w:t xml:space="preserve">. </w:t>
      </w:r>
    </w:p>
    <w:p w14:paraId="32154E57" w14:textId="6768D00C" w:rsidR="0055219F" w:rsidRPr="00557367" w:rsidRDefault="000329F4" w:rsidP="00813421">
      <w:r w:rsidRPr="00557367">
        <w:t xml:space="preserve">Gender is perhaps the factor that has attracted </w:t>
      </w:r>
      <w:r w:rsidR="00F946D9" w:rsidRPr="00557367">
        <w:t xml:space="preserve">the </w:t>
      </w:r>
      <w:r w:rsidRPr="00557367">
        <w:t>most attention</w:t>
      </w:r>
      <w:r w:rsidR="00194E73" w:rsidRPr="00557367">
        <w:t xml:space="preserve"> </w:t>
      </w:r>
      <w:r w:rsidR="00194E73" w:rsidRPr="00557367">
        <w:fldChar w:fldCharType="begin"/>
      </w:r>
      <w:r w:rsidR="00194E73" w:rsidRPr="00557367">
        <w:instrText xml:space="preserve"> ADDIN ZOTERO_ITEM CSL_CITATION {"citationID":"1karkqgg7v","properties":{"formattedCitation":"(Kittilson and Schwindt-Bayer, 2010)","plainCitation":"(Kittilson and Schwindt-Bayer, 2010)"},"citationItems":[{"id":2661,"uris":["http://zotero.org/users/109723/items/UKP66PUS"],"uri":["http://zotero.org/users/109723/items/UKP66PUS"],"itemData":{"id":2661,"type":"article-journal","title":"Engaging Citizens: The Role of Power-Sharing Institutions","container-title":"Journal of Politics","page":"990-1002","volume":"72","issue":"4","source":"CrossRef","DOI":"10.1017/S0022381610000484","ISSN":"0022-3816, 1468-2508","shortTitle":"Engaging Citizens","language":"en","author":[{"family":"Kittilson","given":"Miki Caul"},{"family":"Schwindt-Bayer","given":"Leslie"}],"issued":{"date-parts":[["2010",10]]}}}],"schema":"https://github.com/citation-style-language/schema/raw/master/csl-citation.json"} </w:instrText>
      </w:r>
      <w:r w:rsidR="00194E73" w:rsidRPr="00557367">
        <w:fldChar w:fldCharType="separate"/>
      </w:r>
      <w:r w:rsidR="00194E73" w:rsidRPr="00557367">
        <w:t>(Kittilson and Schwindt-Bayer, 2010)</w:t>
      </w:r>
      <w:r w:rsidR="00194E73" w:rsidRPr="00557367">
        <w:fldChar w:fldCharType="end"/>
      </w:r>
      <w:r w:rsidR="009200C6" w:rsidRPr="00557367">
        <w:t>, with cross-national s</w:t>
      </w:r>
      <w:r w:rsidRPr="00557367">
        <w:t>tudies show</w:t>
      </w:r>
      <w:r w:rsidR="009200C6" w:rsidRPr="00557367">
        <w:t>ing</w:t>
      </w:r>
      <w:r w:rsidRPr="00557367">
        <w:t xml:space="preserve"> the persistence of a gender gap</w:t>
      </w:r>
      <w:r w:rsidR="00F946D9" w:rsidRPr="00557367">
        <w:t xml:space="preserve"> in </w:t>
      </w:r>
      <w:r w:rsidR="009200C6" w:rsidRPr="00557367">
        <w:t xml:space="preserve">the frequency </w:t>
      </w:r>
      <w:r w:rsidR="00F946D9" w:rsidRPr="00557367">
        <w:t>political discussion</w:t>
      </w:r>
      <w:r w:rsidRPr="00557367">
        <w:t>,</w:t>
      </w:r>
      <w:r w:rsidR="009200C6" w:rsidRPr="00557367">
        <w:t xml:space="preserve"> although it</w:t>
      </w:r>
      <w:r w:rsidR="00F221F9" w:rsidRPr="00557367">
        <w:t>s magnitude</w:t>
      </w:r>
      <w:r w:rsidR="009200C6" w:rsidRPr="00557367">
        <w:t xml:space="preserve"> </w:t>
      </w:r>
      <w:r w:rsidR="00EE0631" w:rsidRPr="00557367">
        <w:t>is reported to be</w:t>
      </w:r>
      <w:r w:rsidR="009200C6" w:rsidRPr="00557367">
        <w:t xml:space="preserve"> in decline </w:t>
      </w:r>
      <w:r w:rsidR="009200C6" w:rsidRPr="00557367">
        <w:fldChar w:fldCharType="begin"/>
      </w:r>
      <w:r w:rsidR="009200C6" w:rsidRPr="00557367">
        <w:instrText xml:space="preserve"> ADDIN ZOTERO_ITEM CSL_CITATION {"citationID":"2hvr6abmh3","properties":{"formattedCitation":"(Inglehart, 1990, p. 348)","plainCitation":"(Inglehart, 1990, p. 348)"},"citationItems":[{"id":461,"uris":["http://zotero.org/users/109723/items/GT9VTZAZ"],"uri":["http://zotero.org/users/109723/items/GT9VTZAZ"],"itemData":{"id":461,"type":"book","title":"Culture shift in advanced industrial society","publisher":"Princeton University Press","publisher-place":"Princeton, NJ","source":"Open WorldCat","event-place":"Princeton, NJ","ISBN":"978-0-691-07786-4","author":[{"family":"Inglehart","given":"Ronald"}],"issued":{"date-parts":[["1990"]]}},"locator":"348"}],"schema":"https://github.com/citation-style-language/schema/raw/master/csl-citation.json"} </w:instrText>
      </w:r>
      <w:r w:rsidR="009200C6" w:rsidRPr="00557367">
        <w:fldChar w:fldCharType="separate"/>
      </w:r>
      <w:r w:rsidR="009200C6" w:rsidRPr="00557367">
        <w:t>(Inglehart, 1990, p. 348)</w:t>
      </w:r>
      <w:r w:rsidR="009200C6" w:rsidRPr="00557367">
        <w:fldChar w:fldCharType="end"/>
      </w:r>
      <w:r w:rsidRPr="00557367">
        <w:t xml:space="preserve">. Another predictor of political discussion is </w:t>
      </w:r>
      <w:r w:rsidR="00194E73" w:rsidRPr="00557367">
        <w:t xml:space="preserve">the level of </w:t>
      </w:r>
      <w:r w:rsidRPr="00557367">
        <w:t>resource</w:t>
      </w:r>
      <w:r w:rsidR="005F5FCB" w:rsidRPr="00557367">
        <w:t>s</w:t>
      </w:r>
      <w:r w:rsidRPr="00557367">
        <w:t>, both financial and educational. I</w:t>
      </w:r>
      <w:r w:rsidR="00AF5DB8" w:rsidRPr="00557367">
        <w:t xml:space="preserve">n their analysis of </w:t>
      </w:r>
      <w:r w:rsidR="0040470E" w:rsidRPr="00557367">
        <w:t xml:space="preserve">responses from </w:t>
      </w:r>
      <w:r w:rsidR="00AF5DB8" w:rsidRPr="00557367">
        <w:t xml:space="preserve">a representative US sample </w:t>
      </w:r>
      <w:r w:rsidR="0040470E" w:rsidRPr="00557367">
        <w:t xml:space="preserve">surveyed in </w:t>
      </w:r>
      <w:r w:rsidR="00AF5DB8" w:rsidRPr="00557367">
        <w:t xml:space="preserve">1989, </w:t>
      </w:r>
      <w:proofErr w:type="spellStart"/>
      <w:r w:rsidR="00AF5DB8" w:rsidRPr="00557367">
        <w:t>Verba</w:t>
      </w:r>
      <w:proofErr w:type="spellEnd"/>
      <w:r w:rsidR="00AF5DB8" w:rsidRPr="00557367">
        <w:t xml:space="preserve"> et al</w:t>
      </w:r>
      <w:r w:rsidRPr="00557367">
        <w:t>.</w:t>
      </w:r>
      <w:r w:rsidR="00AF5DB8" w:rsidRPr="00557367">
        <w:t xml:space="preserve"> </w:t>
      </w:r>
      <w:r w:rsidR="00A8436B" w:rsidRPr="00557367">
        <w:t xml:space="preserve">find </w:t>
      </w:r>
      <w:r w:rsidR="00AF5DB8" w:rsidRPr="00557367">
        <w:t xml:space="preserve">that political discussion is positively affected by </w:t>
      </w:r>
      <w:r w:rsidR="00CD1184" w:rsidRPr="00557367">
        <w:t xml:space="preserve">the level of </w:t>
      </w:r>
      <w:r w:rsidR="00AF5DB8" w:rsidRPr="00557367">
        <w:t>income. Interestingly, educational resources</w:t>
      </w:r>
      <w:r w:rsidR="00F10A1A" w:rsidRPr="00557367">
        <w:t xml:space="preserve"> do not seem to have an impact</w:t>
      </w:r>
      <w:r w:rsidR="0040470E" w:rsidRPr="00557367">
        <w:t xml:space="preserve"> in the likelihood of discussing politics</w:t>
      </w:r>
      <w:r w:rsidR="00F10A1A" w:rsidRPr="00557367">
        <w:t xml:space="preserve">. </w:t>
      </w:r>
      <w:r w:rsidR="002C09DB" w:rsidRPr="00557367">
        <w:t xml:space="preserve">An analysis of survey data from Hong Kong leads identical </w:t>
      </w:r>
      <w:r w:rsidR="00C13D07" w:rsidRPr="00557367">
        <w:t xml:space="preserve">conclusions </w:t>
      </w:r>
      <w:r w:rsidR="002C09DB" w:rsidRPr="00557367">
        <w:fldChar w:fldCharType="begin"/>
      </w:r>
      <w:r w:rsidR="002C09DB" w:rsidRPr="00557367">
        <w:instrText xml:space="preserve"> ADDIN ZOTERO_ITEM CSL_CITATION {"citationID":"2kscndgcl8","properties":{"formattedCitation":"(Lee, 2009)","plainCitation":"(Lee, 2009)"},"citationItems":[{"id":2663,"uris":["http://zotero.org/users/109723/items/73VC88RU"],"uri":["http://zotero.org/users/109723/items/73VC88RU"],"itemData":{"id":2663,"type":"article-journal","title":"The impact of political discussion in a democratizing society: The moderating role of disagreement and support for democracy","container-title":"Communication Research","page":"379-399","volume":"36","issue":"3","source":"Scopus","archive":"Scopus","abstract":"This study examines interpersonal political discussion in the context of a democratizing society, focusing specifically on its impact on political knowledge and awareness of the danger of majority tyranny. Moreover, following the argument that the normatively desirable impact of political discussion is likely to emerge or be stronger under specific conditions, this study treats disagreement and support for democratization as two moderators of discussion effects. Analysis of a representative survey (n = 800) conducted in Hong Kong shows that frequency of interpersonal political discussion relates positively to political knowledge. The relationship is stronger among people who experience more disagreement in discussion. Support for democracy does not moderate the impact of discussion on knowledge. But a three-way interaction effect is found on awareness of the danger of majority tyranny: Discussion leads to such awareness only among supporters of democracy who experience disagreement in discussion. This study thus both replicates and extends the findings in the existing, mostly U.S.based literature on the impact of political talk. © 2009 Sage Publications.","DOI":"10.1177/0093650209333027","ISSN":"0093-6502","shortTitle":"The impact of political discussion in a democratizing society","language":"English","author":[{"family":"Lee","given":"F.L.F."}],"issued":{"date-parts":[["2009"]]}}}],"schema":"https://github.com/citation-style-language/schema/raw/master/csl-citation.json"} </w:instrText>
      </w:r>
      <w:r w:rsidR="002C09DB" w:rsidRPr="00557367">
        <w:fldChar w:fldCharType="separate"/>
      </w:r>
      <w:r w:rsidR="002C09DB" w:rsidRPr="00557367">
        <w:t>(Lee, 2009)</w:t>
      </w:r>
      <w:r w:rsidR="002C09DB" w:rsidRPr="00557367">
        <w:fldChar w:fldCharType="end"/>
      </w:r>
      <w:r w:rsidR="002C09DB" w:rsidRPr="00557367">
        <w:t>.</w:t>
      </w:r>
      <w:r w:rsidR="0008153F" w:rsidRPr="00557367">
        <w:t xml:space="preserve"> Conversely, </w:t>
      </w:r>
      <w:r w:rsidR="00D24B6B" w:rsidRPr="00557367">
        <w:t>based on longitudinal data</w:t>
      </w:r>
      <w:r w:rsidR="004501B4" w:rsidRPr="00557367">
        <w:t>,</w:t>
      </w:r>
      <w:r w:rsidR="00D24B6B" w:rsidRPr="00557367">
        <w:t xml:space="preserve"> </w:t>
      </w:r>
      <w:r w:rsidR="0008153F" w:rsidRPr="00557367">
        <w:t xml:space="preserve">Inglehart finds that those who achieve higher levels of education are consistently more likely to discuss politics </w:t>
      </w:r>
      <w:r w:rsidR="00F946D9" w:rsidRPr="00557367">
        <w:fldChar w:fldCharType="begin"/>
      </w:r>
      <w:r w:rsidR="00F946D9" w:rsidRPr="00557367">
        <w:instrText xml:space="preserve"> ADDIN ZOTERO_ITEM CSL_CITATION {"citationID":"l90c0aoc3","properties":{"formattedCitation":"(Inglehart, 1990, p. 345)","plainCitation":"(Inglehart, 1990, p. 345)"},"citationItems":[{"id":461,"uris":["http://zotero.org/users/109723/items/GT9VTZAZ"],"uri":["http://zotero.org/users/109723/items/GT9VTZAZ"],"itemData":{"id":461,"type":"book","title":"Culture shift in advanced industrial society","publisher":"Princeton University Press","publisher-place":"Princeton, NJ","source":"Open WorldCat","event-place":"Princeton, NJ","ISBN":"978-0-691-07786-4","author":[{"family":"Inglehart","given":"Ronald"}],"issued":{"date-parts":[["1990"]]}},"locator":"345"}],"schema":"https://github.com/citation-style-language/schema/raw/master/csl-citation.json"} </w:instrText>
      </w:r>
      <w:r w:rsidR="00F946D9" w:rsidRPr="00557367">
        <w:fldChar w:fldCharType="separate"/>
      </w:r>
      <w:r w:rsidR="00F946D9" w:rsidRPr="00557367">
        <w:t>(Inglehart, 1990, p. 345)</w:t>
      </w:r>
      <w:r w:rsidR="00F946D9" w:rsidRPr="00557367">
        <w:fldChar w:fldCharType="end"/>
      </w:r>
      <w:r w:rsidR="0008153F" w:rsidRPr="00557367">
        <w:t xml:space="preserve">. </w:t>
      </w:r>
      <w:r w:rsidR="00F946D9" w:rsidRPr="00557367">
        <w:t xml:space="preserve">This finding was </w:t>
      </w:r>
      <w:r w:rsidR="004501B4" w:rsidRPr="00557367">
        <w:t>supported</w:t>
      </w:r>
      <w:r w:rsidR="00F946D9" w:rsidRPr="00557367">
        <w:t xml:space="preserve"> by </w:t>
      </w:r>
      <w:r w:rsidR="004501B4" w:rsidRPr="00557367">
        <w:t xml:space="preserve">subsequent </w:t>
      </w:r>
      <w:r w:rsidR="00F946D9" w:rsidRPr="00557367">
        <w:t>analys</w:t>
      </w:r>
      <w:r w:rsidR="004501B4" w:rsidRPr="00557367">
        <w:t>e</w:t>
      </w:r>
      <w:r w:rsidR="00F946D9" w:rsidRPr="00557367">
        <w:t xml:space="preserve">s </w:t>
      </w:r>
      <w:r w:rsidR="00F946D9" w:rsidRPr="00557367">
        <w:fldChar w:fldCharType="begin"/>
      </w:r>
      <w:r w:rsidR="00F946D9" w:rsidRPr="00557367">
        <w:instrText xml:space="preserve"> ADDIN ZOTERO_ITEM CSL_CITATION {"citationID":"22kisut3ei","properties":{"formattedCitation":"(Sanders and Bellucci, 2012; van Deth and Elff, 2004)","plainCitation":"(Sanders and Bellucci, 2012; van Deth and Elff, 2004)"},"citationItems":[{"id":47,"uris":["http://zotero.org/users/109723/items/3IQ5AG3B"],"uri":["http://zotero.org/users/109723/items/3IQ5AG3B"],"itemData":{"id":47,"type":"chapter","title":"Informal Political Engagement in Europe, 1975–2007","container-title":"Citizens and the European Polity","publisher":"Oxford University Press","publisher-place":"Oxford","page":"39-64","source":"CrossRef","event-place":"Oxford","URL":"http://oxfordindex.oup.com/view/10.1093/acprof:oso/9780199602339.003.0003","ISBN":"978-0-19-960233-9","editor":[{"family":"Sanders","given":"David"},{"family":"Magalhães","given":"Pedro"},{"family":"Toka","given":"Gabor"}],"author":[{"family":"Sanders","given":"David"},{"family":"Bellucci","given":"Paolo"}],"issued":{"date-parts":[["2012",7,26]]},"accessed":{"date-parts":[["2015",2,5]]}}},{"id":710,"uris":["http://zotero.org/users/109723/items/RRAEANFN"],"uri":["http://zotero.org/users/109723/items/RRAEANFN"],"itemData":{"id":710,"type":"article-journal","title":"Politicisation, economic development and political interest in Europe","container-title":"European Journal of Political Research","page":"477-508","volume":"43","issue":"3","source":"Wiley Online Library","abstract":"Abstract.  Political interest is usually depicted as an individual attribute that can be explained by referring to the resources and skills of citizens. The analyses presented here are based on a critical assessment of the explanatory power of these approaches in cross-national and longitudinal comparisons. A contextual model is presented emphasising the relevance of distinct degrees of politicisation and economic development in different societies in addition to traditional sociodemographic factors (education, date of birth and gender) at the microlevel. The resulting multilevel model combines both individual and contextual factors to explain the cross-national differences and changes in political involvement and apathy in Europe in the last three decades. The politicisation thesis, which states that the level of political interest among citizens is an increasing function of the relevance of societal and political arrangements in a society, is not supported by the empirical findings presented here. The most noteworthy conclusion is the remarkable disappearance of the impact of societal politicisation when the level of economic development of each country is included in multilevel models. The level of political interest, then, clearly depends on the level of economic development.","DOI":"10.1111/j.1475-6765.2004.00162.x","ISSN":"1475-6765","language":"en","author":[{"family":"Deth","given":"Jan","non-dropping-particle":"van"},{"family":"Elff","given":"Martin"}],"issued":{"date-parts":[["2004"]]}}}],"schema":"https://github.com/citation-style-language/schema/raw/master/csl-citation.json"} </w:instrText>
      </w:r>
      <w:r w:rsidR="00F946D9" w:rsidRPr="00557367">
        <w:fldChar w:fldCharType="separate"/>
      </w:r>
      <w:r w:rsidR="00F946D9" w:rsidRPr="00557367">
        <w:t>(Sanders and Bellucci, 2012; van Deth and Elff, 2004)</w:t>
      </w:r>
      <w:r w:rsidR="00F946D9" w:rsidRPr="00557367">
        <w:fldChar w:fldCharType="end"/>
      </w:r>
      <w:r w:rsidR="00F946D9" w:rsidRPr="00557367">
        <w:t>.</w:t>
      </w:r>
      <w:r w:rsidR="00026809" w:rsidRPr="00557367">
        <w:t xml:space="preserve"> </w:t>
      </w:r>
      <w:r w:rsidR="0008153F" w:rsidRPr="00557367">
        <w:t xml:space="preserve">Inglehart </w:t>
      </w:r>
      <w:r w:rsidR="00F946D9" w:rsidRPr="00557367">
        <w:fldChar w:fldCharType="begin"/>
      </w:r>
      <w:r w:rsidR="00026809" w:rsidRPr="00557367">
        <w:instrText xml:space="preserve"> ADDIN ZOTERO_ITEM CSL_CITATION {"citationID":"0Vw8jjjg","properties":{"formattedCitation":"(1990, p. 351)","plainCitation":"(1990, p. 351)"},"citationItems":[{"id":461,"uris":["http://zotero.org/users/109723/items/GT9VTZAZ"],"uri":["http://zotero.org/users/109723/items/GT9VTZAZ"],"itemData":{"id":461,"type":"book","title":"Culture shift in advanced industrial society","publisher":"Princeton University Press","publisher-place":"Princeton, NJ","source":"Open WorldCat","event-place":"Princeton, NJ","ISBN":"978-0-691-07786-4","author":[{"family":"Inglehart","given":"Ronald"}],"issued":{"date-parts":[["1990"]]}},"locator":"351","suppress-author":true}],"schema":"https://github.com/citation-style-language/schema/raw/master/csl-citation.json"} </w:instrText>
      </w:r>
      <w:r w:rsidR="00F946D9" w:rsidRPr="00557367">
        <w:fldChar w:fldCharType="separate"/>
      </w:r>
      <w:r w:rsidR="00026809" w:rsidRPr="00557367">
        <w:t>(1990, p. 351)</w:t>
      </w:r>
      <w:r w:rsidR="00F946D9" w:rsidRPr="00557367">
        <w:fldChar w:fldCharType="end"/>
      </w:r>
      <w:r w:rsidR="00F946D9" w:rsidRPr="00557367">
        <w:t xml:space="preserve"> </w:t>
      </w:r>
      <w:r w:rsidR="0008153F" w:rsidRPr="00557367">
        <w:t xml:space="preserve">also finds evidence </w:t>
      </w:r>
      <w:r w:rsidR="00A83A39" w:rsidRPr="00557367">
        <w:t xml:space="preserve">of </w:t>
      </w:r>
      <w:r w:rsidR="0008153F" w:rsidRPr="00557367">
        <w:t>life-cycle effects, as there is a curvilinear</w:t>
      </w:r>
      <w:r w:rsidR="00CD1184" w:rsidRPr="00557367">
        <w:t xml:space="preserve"> (inverted-U)</w:t>
      </w:r>
      <w:r w:rsidR="0008153F" w:rsidRPr="00557367">
        <w:t xml:space="preserve"> distribution</w:t>
      </w:r>
      <w:r w:rsidR="00A83A39" w:rsidRPr="00557367">
        <w:t xml:space="preserve"> of political </w:t>
      </w:r>
      <w:r w:rsidR="00CD1184" w:rsidRPr="00557367">
        <w:t>discussion</w:t>
      </w:r>
      <w:r w:rsidR="0008153F" w:rsidRPr="00557367">
        <w:t xml:space="preserve"> after controlling for the fact that younger generations </w:t>
      </w:r>
      <w:r w:rsidR="00CD1184" w:rsidRPr="00557367">
        <w:t xml:space="preserve">hold </w:t>
      </w:r>
      <w:r w:rsidR="0008153F" w:rsidRPr="00557367">
        <w:t xml:space="preserve">higher levels of education. </w:t>
      </w:r>
    </w:p>
    <w:p w14:paraId="48576572" w14:textId="766B1BEB" w:rsidR="004C2ED1" w:rsidRPr="00557367" w:rsidRDefault="004C2ED1" w:rsidP="00813421">
      <w:r w:rsidRPr="00557367">
        <w:t xml:space="preserve">Other </w:t>
      </w:r>
      <w:r w:rsidR="001A3726" w:rsidRPr="00557367">
        <w:t xml:space="preserve">authors </w:t>
      </w:r>
      <w:r w:rsidRPr="00557367">
        <w:t xml:space="preserve">followed </w:t>
      </w:r>
      <w:r w:rsidR="00026809" w:rsidRPr="00557367">
        <w:t xml:space="preserve">Inglehart’s </w:t>
      </w:r>
      <w:r w:rsidRPr="00557367">
        <w:t xml:space="preserve">approach of looking at </w:t>
      </w:r>
      <w:r w:rsidR="00026809" w:rsidRPr="00557367">
        <w:t>longitudinal data</w:t>
      </w:r>
      <w:r w:rsidRPr="00557367">
        <w:t xml:space="preserve">. Sanders and Bellucci analyse </w:t>
      </w:r>
      <w:r w:rsidR="00CD1184" w:rsidRPr="00557367">
        <w:t xml:space="preserve">samples from </w:t>
      </w:r>
      <w:r w:rsidRPr="00557367">
        <w:t xml:space="preserve">EU member-states </w:t>
      </w:r>
      <w:r w:rsidR="004501B4" w:rsidRPr="00557367">
        <w:t xml:space="preserve">for </w:t>
      </w:r>
      <w:r w:rsidRPr="00557367">
        <w:t xml:space="preserve">the 1975-2007 </w:t>
      </w:r>
      <w:proofErr w:type="gramStart"/>
      <w:r w:rsidRPr="00557367">
        <w:t>period</w:t>
      </w:r>
      <w:r w:rsidR="004501B4" w:rsidRPr="00557367">
        <w:t>, and</w:t>
      </w:r>
      <w:proofErr w:type="gramEnd"/>
      <w:r w:rsidR="00026809" w:rsidRPr="00557367">
        <w:t xml:space="preserve"> </w:t>
      </w:r>
      <w:r w:rsidR="004501B4" w:rsidRPr="00557367">
        <w:t xml:space="preserve">contribute </w:t>
      </w:r>
      <w:r w:rsidR="00026809" w:rsidRPr="00557367">
        <w:t xml:space="preserve">with </w:t>
      </w:r>
      <w:r w:rsidR="004501B4" w:rsidRPr="00557367">
        <w:t xml:space="preserve">additional </w:t>
      </w:r>
      <w:r w:rsidR="00026809" w:rsidRPr="00557367">
        <w:t>findings at the micro level</w:t>
      </w:r>
      <w:r w:rsidRPr="00557367">
        <w:t xml:space="preserve">. </w:t>
      </w:r>
      <w:r w:rsidR="00026809" w:rsidRPr="00557367">
        <w:t>For instance</w:t>
      </w:r>
      <w:r w:rsidRPr="00557367">
        <w:t xml:space="preserve">, they </w:t>
      </w:r>
      <w:r w:rsidR="004501B4" w:rsidRPr="00557367">
        <w:t xml:space="preserve">show </w:t>
      </w:r>
      <w:r w:rsidRPr="00557367">
        <w:t xml:space="preserve">that </w:t>
      </w:r>
      <w:r w:rsidR="004501B4" w:rsidRPr="00557367">
        <w:t xml:space="preserve">as </w:t>
      </w:r>
      <w:r w:rsidRPr="00557367">
        <w:t xml:space="preserve">individuals </w:t>
      </w:r>
      <w:r w:rsidR="00CD1184" w:rsidRPr="00557367">
        <w:t xml:space="preserve">place </w:t>
      </w:r>
      <w:r w:rsidR="004501B4" w:rsidRPr="00557367">
        <w:t xml:space="preserve">themselves </w:t>
      </w:r>
      <w:r w:rsidR="00CD1184" w:rsidRPr="00557367">
        <w:t xml:space="preserve">further </w:t>
      </w:r>
      <w:r w:rsidR="004501B4" w:rsidRPr="00557367">
        <w:t xml:space="preserve">away from the ideological </w:t>
      </w:r>
      <w:proofErr w:type="gramStart"/>
      <w:r w:rsidRPr="00557367">
        <w:t>centre</w:t>
      </w:r>
      <w:proofErr w:type="gramEnd"/>
      <w:r w:rsidRPr="00557367">
        <w:t xml:space="preserve"> </w:t>
      </w:r>
      <w:r w:rsidR="004501B4" w:rsidRPr="00557367">
        <w:t xml:space="preserve">they </w:t>
      </w:r>
      <w:r w:rsidRPr="00557367">
        <w:t>tend to discuss politics more frequently</w:t>
      </w:r>
      <w:r w:rsidR="004501B4" w:rsidRPr="00557367">
        <w:t>,</w:t>
      </w:r>
      <w:r w:rsidRPr="00557367">
        <w:t xml:space="preserve"> as do individuals with a managerial occupation, in contrast with manual work</w:t>
      </w:r>
      <w:r w:rsidR="005F5FCB" w:rsidRPr="00557367">
        <w:t>ers and unemployed individuals.</w:t>
      </w:r>
    </w:p>
    <w:p w14:paraId="2DFF87D8" w14:textId="0ADD4720" w:rsidR="005F5FCB" w:rsidRPr="00557367" w:rsidRDefault="00E30AEE" w:rsidP="00813421">
      <w:r w:rsidRPr="00557367">
        <w:t xml:space="preserve">The study of </w:t>
      </w:r>
      <w:r w:rsidR="001A3726" w:rsidRPr="00557367">
        <w:t xml:space="preserve">the roots of </w:t>
      </w:r>
      <w:r w:rsidRPr="00557367">
        <w:t xml:space="preserve">political discussion has evolved by </w:t>
      </w:r>
      <w:r w:rsidR="001A3726" w:rsidRPr="00557367">
        <w:t xml:space="preserve">also looking at </w:t>
      </w:r>
      <w:r w:rsidRPr="00557367">
        <w:t xml:space="preserve">the impact of macro contexts, which have been found to play a key role in </w:t>
      </w:r>
      <w:r w:rsidR="001A3726" w:rsidRPr="00557367">
        <w:t xml:space="preserve">explaining </w:t>
      </w:r>
      <w:r w:rsidRPr="00557367">
        <w:t>cross-</w:t>
      </w:r>
      <w:r w:rsidRPr="00557367">
        <w:lastRenderedPageBreak/>
        <w:t xml:space="preserve">national differences. </w:t>
      </w:r>
      <w:r w:rsidR="00A83A39" w:rsidRPr="00557367">
        <w:t>Indeed, Inglehart</w:t>
      </w:r>
      <w:r w:rsidRPr="00557367">
        <w:t>’s</w:t>
      </w:r>
      <w:r w:rsidR="00A83A39" w:rsidRPr="00557367">
        <w:t xml:space="preserve"> </w:t>
      </w:r>
      <w:r w:rsidR="00EE0631" w:rsidRPr="00557367">
        <w:fldChar w:fldCharType="begin"/>
      </w:r>
      <w:r w:rsidR="00EE0631" w:rsidRPr="00557367">
        <w:instrText xml:space="preserve"> ADDIN ZOTERO_ITEM CSL_CITATION {"citationID":"dvum9VEe","properties":{"formattedCitation":"(1990, p. 352)","plainCitation":"(1990, p. 352)"},"citationItems":[{"id":461,"uris":["http://zotero.org/users/109723/items/GT9VTZAZ"],"uri":["http://zotero.org/users/109723/items/GT9VTZAZ"],"itemData":{"id":461,"type":"book","title":"Culture shift in advanced industrial society","publisher":"Princeton University Press","publisher-place":"Princeton, NJ","source":"Open WorldCat","event-place":"Princeton, NJ","ISBN":"978-0-691-07786-4","author":[{"family":"Inglehart","given":"Ronald"}],"issued":{"date-parts":[["1990"]]}},"locator":"352","suppress-author":true}],"schema":"https://github.com/citation-style-language/schema/raw/master/csl-citation.json"} </w:instrText>
      </w:r>
      <w:r w:rsidR="00EE0631" w:rsidRPr="00557367">
        <w:fldChar w:fldCharType="separate"/>
      </w:r>
      <w:r w:rsidR="00EE0631" w:rsidRPr="00557367">
        <w:t>(1990, p. 352)</w:t>
      </w:r>
      <w:r w:rsidR="00EE0631" w:rsidRPr="00557367">
        <w:fldChar w:fldCharType="end"/>
      </w:r>
      <w:r w:rsidR="00EE0631" w:rsidRPr="00557367">
        <w:t xml:space="preserve"> </w:t>
      </w:r>
      <w:r w:rsidR="00A83A39" w:rsidRPr="00557367">
        <w:t>assertion that nationality is the “strongest predictor of political discussion” was followed by several attempts to understand whether such macro differences could be attributed to structural and cultural fa</w:t>
      </w:r>
      <w:r w:rsidRPr="00557367">
        <w:t>c</w:t>
      </w:r>
      <w:r w:rsidR="00A83A39" w:rsidRPr="00557367">
        <w:t xml:space="preserve">tors. </w:t>
      </w:r>
      <w:r w:rsidR="001A3726" w:rsidRPr="00557367">
        <w:t xml:space="preserve">Thus, Van </w:t>
      </w:r>
      <w:proofErr w:type="spellStart"/>
      <w:r w:rsidR="001A3726" w:rsidRPr="00557367">
        <w:t>Deth</w:t>
      </w:r>
      <w:proofErr w:type="spellEnd"/>
      <w:r w:rsidR="001A3726" w:rsidRPr="00557367">
        <w:t xml:space="preserve"> and </w:t>
      </w:r>
      <w:proofErr w:type="spellStart"/>
      <w:r w:rsidR="001A3726" w:rsidRPr="00557367">
        <w:t>Elff</w:t>
      </w:r>
      <w:proofErr w:type="spellEnd"/>
      <w:r w:rsidR="001A3726" w:rsidRPr="00557367">
        <w:t xml:space="preserve"> </w:t>
      </w:r>
      <w:r w:rsidR="0055219F" w:rsidRPr="00557367">
        <w:fldChar w:fldCharType="begin"/>
      </w:r>
      <w:r w:rsidR="0055219F" w:rsidRPr="00557367">
        <w:instrText xml:space="preserve"> ADDIN ZOTERO_ITEM CSL_CITATION {"citationID":"v7ems4rqa","properties":{"formattedCitation":"(2004)","plainCitation":"(2004)"},"citationItems":[{"id":710,"uris":["http://zotero.org/users/109723/items/RRAEANFN"],"uri":["http://zotero.org/users/109723/items/RRAEANFN"],"itemData":{"id":710,"type":"article-journal","title":"Politicisation, economic development and political interest in Europe","container-title":"European Journal of Political Research","page":"477-508","volume":"43","issue":"3","source":"Wiley Online Library","abstract":"Abstract.  Political interest is usually depicted as an individual attribute that can be explained by referring to the resources and skills of citizens. The analyses presented here are based on a critical assessment of the explanatory power of these approaches in cross-national and longitudinal comparisons. A contextual model is presented emphasising the relevance of distinct degrees of politicisation and economic development in different societies in addition to traditional sociodemographic factors (education, date of birth and gender) at the microlevel. The resulting multilevel model combines both individual and contextual factors to explain the cross-national differences and changes in political involvement and apathy in Europe in the last three decades. The politicisation thesis, which states that the level of political interest among citizens is an increasing function of the relevance of societal and political arrangements in a society, is not supported by the empirical findings presented here. The most noteworthy conclusion is the remarkable disappearance of the impact of societal politicisation when the level of economic development of each country is included in multilevel models. The level of political interest, then, clearly depends on the level of economic development.","DOI":"10.1111/j.1475-6765.2004.00162.x","ISSN":"1475-6765","language":"en","author":[{"family":"Deth","given":"Jan","non-dropping-particle":"van"},{"family":"Elff","given":"Martin"}],"issued":{"date-parts":[["2004"]]}},"suppress-author":true}],"schema":"https://github.com/citation-style-language/schema/raw/master/csl-citation.json"} </w:instrText>
      </w:r>
      <w:r w:rsidR="0055219F" w:rsidRPr="00557367">
        <w:fldChar w:fldCharType="separate"/>
      </w:r>
      <w:r w:rsidR="0055219F" w:rsidRPr="00557367">
        <w:t>(2004)</w:t>
      </w:r>
      <w:r w:rsidR="0055219F" w:rsidRPr="00557367">
        <w:fldChar w:fldCharType="end"/>
      </w:r>
      <w:r w:rsidR="0055219F" w:rsidRPr="00557367">
        <w:t xml:space="preserve"> find</w:t>
      </w:r>
      <w:r w:rsidR="001A3726" w:rsidRPr="00557367">
        <w:t xml:space="preserve"> that economic development fosters </w:t>
      </w:r>
      <w:r w:rsidR="00AE21D3" w:rsidRPr="00557367">
        <w:t xml:space="preserve">the levels of </w:t>
      </w:r>
      <w:r w:rsidR="001A3726" w:rsidRPr="00557367">
        <w:t>discussion about politics</w:t>
      </w:r>
      <w:r w:rsidR="002862FE" w:rsidRPr="00557367">
        <w:t>.</w:t>
      </w:r>
      <w:r w:rsidR="001A3726" w:rsidRPr="00557367">
        <w:t xml:space="preserve"> </w:t>
      </w:r>
      <w:r w:rsidR="002862FE" w:rsidRPr="00557367">
        <w:t xml:space="preserve">This contradicts the </w:t>
      </w:r>
      <w:r w:rsidR="004501B4" w:rsidRPr="00557367">
        <w:t xml:space="preserve">results </w:t>
      </w:r>
      <w:r w:rsidR="002862FE" w:rsidRPr="00557367">
        <w:t xml:space="preserve">of </w:t>
      </w:r>
      <w:r w:rsidR="001A3726" w:rsidRPr="00557367">
        <w:t>Sanders and Bellucci</w:t>
      </w:r>
      <w:r w:rsidR="002862FE" w:rsidRPr="00557367">
        <w:t xml:space="preserve">, who do not </w:t>
      </w:r>
      <w:r w:rsidR="0055219F" w:rsidRPr="00557367">
        <w:t>find</w:t>
      </w:r>
      <w:r w:rsidR="002862FE" w:rsidRPr="00557367">
        <w:t xml:space="preserve"> evidence of </w:t>
      </w:r>
      <w:r w:rsidR="00D24B6B" w:rsidRPr="00557367">
        <w:t xml:space="preserve">national </w:t>
      </w:r>
      <w:r w:rsidR="002862FE" w:rsidRPr="00557367">
        <w:t xml:space="preserve">GDP being a </w:t>
      </w:r>
      <w:r w:rsidR="00D24B6B" w:rsidRPr="00557367">
        <w:t xml:space="preserve">relevant </w:t>
      </w:r>
      <w:r w:rsidR="003D0E4F" w:rsidRPr="00557367">
        <w:t>predictor</w:t>
      </w:r>
      <w:r w:rsidR="00D24B6B" w:rsidRPr="00557367">
        <w:t xml:space="preserve"> of discussion frequency</w:t>
      </w:r>
      <w:r w:rsidR="003D0E4F" w:rsidRPr="00557367">
        <w:t xml:space="preserve">. </w:t>
      </w:r>
      <w:r w:rsidR="00D24B6B" w:rsidRPr="00557367">
        <w:t>On the other hand</w:t>
      </w:r>
      <w:r w:rsidR="003D0E4F" w:rsidRPr="00557367">
        <w:t>,</w:t>
      </w:r>
      <w:r w:rsidR="002862FE" w:rsidRPr="00557367">
        <w:t xml:space="preserve"> the</w:t>
      </w:r>
      <w:r w:rsidR="003D0E4F" w:rsidRPr="00557367">
        <w:t xml:space="preserve">se authors find </w:t>
      </w:r>
      <w:r w:rsidR="001A3726" w:rsidRPr="00557367">
        <w:t xml:space="preserve">economic </w:t>
      </w:r>
      <w:r w:rsidR="0055219F" w:rsidRPr="00557367">
        <w:t>environment</w:t>
      </w:r>
      <w:r w:rsidR="003D0E4F" w:rsidRPr="00557367">
        <w:t xml:space="preserve"> to be important: </w:t>
      </w:r>
      <w:r w:rsidR="002862FE" w:rsidRPr="00557367">
        <w:t xml:space="preserve">while </w:t>
      </w:r>
      <w:r w:rsidR="003D0E4F" w:rsidRPr="00557367">
        <w:t xml:space="preserve">higher levels of </w:t>
      </w:r>
      <w:r w:rsidR="001A3726" w:rsidRPr="00557367">
        <w:t xml:space="preserve">unemployment </w:t>
      </w:r>
      <w:r w:rsidR="003D0E4F" w:rsidRPr="00557367">
        <w:t xml:space="preserve">have </w:t>
      </w:r>
      <w:r w:rsidR="002862FE" w:rsidRPr="00557367">
        <w:t xml:space="preserve">a </w:t>
      </w:r>
      <w:r w:rsidR="001A3726" w:rsidRPr="00557367">
        <w:t>negative impact</w:t>
      </w:r>
      <w:r w:rsidR="002862FE" w:rsidRPr="00557367">
        <w:t xml:space="preserve"> in the frequency of political discussion, </w:t>
      </w:r>
      <w:r w:rsidR="001A3726" w:rsidRPr="00557367">
        <w:t xml:space="preserve">inflation </w:t>
      </w:r>
      <w:r w:rsidR="002862FE" w:rsidRPr="00557367">
        <w:t xml:space="preserve">exerts a </w:t>
      </w:r>
      <w:r w:rsidR="001A3726" w:rsidRPr="00557367">
        <w:t xml:space="preserve">positive </w:t>
      </w:r>
      <w:r w:rsidR="002862FE" w:rsidRPr="00557367">
        <w:t xml:space="preserve">effect. </w:t>
      </w:r>
      <w:r w:rsidR="003D0E4F" w:rsidRPr="00557367">
        <w:t xml:space="preserve">The political </w:t>
      </w:r>
      <w:r w:rsidR="0055219F" w:rsidRPr="00557367">
        <w:t>landscape</w:t>
      </w:r>
      <w:r w:rsidR="003D0E4F" w:rsidRPr="00557367">
        <w:t xml:space="preserve"> </w:t>
      </w:r>
      <w:r w:rsidR="001A3726" w:rsidRPr="00557367">
        <w:t xml:space="preserve">also exerts an effect, as individuals from countries exhibiting higher levels of ideological polarization are more likely to engage in </w:t>
      </w:r>
      <w:r w:rsidR="0055219F" w:rsidRPr="00557367">
        <w:t xml:space="preserve">political </w:t>
      </w:r>
      <w:r w:rsidR="001A3726" w:rsidRPr="00557367">
        <w:t>discussions.</w:t>
      </w:r>
      <w:r w:rsidR="002862FE" w:rsidRPr="00557367">
        <w:t xml:space="preserve"> </w:t>
      </w:r>
    </w:p>
    <w:p w14:paraId="6998C388" w14:textId="693CFC06" w:rsidR="00AF5DB8" w:rsidRPr="00557367" w:rsidRDefault="0055219F" w:rsidP="00813421">
      <w:pPr>
        <w:ind w:firstLine="720"/>
      </w:pPr>
      <w:r w:rsidRPr="00557367">
        <w:t>T</w:t>
      </w:r>
      <w:r w:rsidR="003D0E4F" w:rsidRPr="00557367">
        <w:t>he case that more inclusive institutions pave the way to higher levels of political discussion</w:t>
      </w:r>
      <w:r w:rsidRPr="00557367">
        <w:t xml:space="preserve"> has been strengthened in recent years </w:t>
      </w:r>
      <w:r w:rsidRPr="00557367">
        <w:fldChar w:fldCharType="begin"/>
      </w:r>
      <w:r w:rsidR="00103082" w:rsidRPr="00557367">
        <w:instrText xml:space="preserve"> ADDIN ZOTERO_ITEM CSL_CITATION {"citationID":"Mhj06Mb0","properties":{"formattedCitation":"(Kittilson and Schwindt-Bayer, 2010; Nir, 2012)","plainCitation":"(Kittilson and Schwindt-Bayer, 2010; Nir, 2012)"},"citationItems":[{"id":2661,"uris":["http://zotero.org/users/109723/items/UKP66PUS"],"uri":["http://zotero.org/users/109723/items/UKP66PUS"],"itemData":{"id":2661,"type":"article-journal","title":"Engaging Citizens: The Role of Power-Sharing Institutions","container-title":"Journal of Politics","page":"990-1002","volume":"72","issue":"4","source":"CrossRef","DOI":"10.1017/S0022381610000484","ISSN":"0022-3816, 1468-2508","shortTitle":"Engaging Citizens","language":"en","author":[{"family":"Kittilson","given":"Miki Caul"},{"family":"Schwindt-Bayer","given":"Leslie"}],"issued":{"date-parts":[["2010",10]]}}},{"id":2657,"uris":["http://zotero.org/users/109723/items/D72CINVF"],"uri":["http://zotero.org/users/109723/items/D72CINVF"],"itemData":{"id":2657,"type":"article-journal","title":"Cross-National Differences in Political Discussion: Can Political Systems Narrow Deliberation Gaps?","container-title":"Journal of Communication","page":"553-570","volume":"62","issue":"3","source":"Wiley Online Library","abstract":"Even though many researchers devoted considerable attention to political discussion and its individual-level antecedents and outcomes, insights are based on single-country studies. Cross-national variations were either never studied or implicitly equated to the U.S. context. This study integrates explanations from communication and comparative politics to test whether political system features (e.g., electoral competitiveness and multiple parties) affect the macrosupply of political information, and thus either amplify or diminish the effects of individual characteristics on discussion. Analyses of cross-national data show system features correlate with greater discussion frequency and moderate the contribution of individual differences to discussion. The potential of systems to narrow gaps in mass public discussion and implications for future research are considered in conclusion.","DOI":"10.1111/j.1460-2466.2012.01648.x","ISSN":"1460-2466","shortTitle":"Cross-National Differences in Political Discussion","language":"en","author":[{"family":"Nir","given":"Lilach"}],"issued":{"date-parts":[["2012",6,1]]}}}],"schema":"https://github.com/citation-style-language/schema/raw/master/csl-citation.json"} </w:instrText>
      </w:r>
      <w:r w:rsidRPr="00557367">
        <w:fldChar w:fldCharType="separate"/>
      </w:r>
      <w:r w:rsidR="00103082" w:rsidRPr="00557367">
        <w:t>(Kittilson and Schwindt-Bayer, 2010; Nir, 2012)</w:t>
      </w:r>
      <w:r w:rsidRPr="00557367">
        <w:fldChar w:fldCharType="end"/>
      </w:r>
      <w:r w:rsidR="00103082" w:rsidRPr="00557367">
        <w:t xml:space="preserve">. </w:t>
      </w:r>
      <w:r w:rsidR="00390A10" w:rsidRPr="00557367">
        <w:t>Specifically, b</w:t>
      </w:r>
      <w:r w:rsidR="00103082" w:rsidRPr="00557367">
        <w:t xml:space="preserve">y </w:t>
      </w:r>
      <w:r w:rsidR="003D0E4F" w:rsidRPr="00557367">
        <w:t xml:space="preserve">exploiting </w:t>
      </w:r>
      <w:r w:rsidR="006B1F21" w:rsidRPr="00557367">
        <w:t xml:space="preserve">the </w:t>
      </w:r>
      <w:r w:rsidR="003D0E4F" w:rsidRPr="00557367">
        <w:t xml:space="preserve">interaction of micro </w:t>
      </w:r>
      <w:r w:rsidR="00AF5DB8" w:rsidRPr="00557367">
        <w:t xml:space="preserve">and </w:t>
      </w:r>
      <w:r w:rsidR="003D0E4F" w:rsidRPr="00557367">
        <w:t xml:space="preserve">macro </w:t>
      </w:r>
      <w:r w:rsidR="00AF5DB8" w:rsidRPr="00557367">
        <w:t>level variables</w:t>
      </w:r>
      <w:r w:rsidR="00A8436B" w:rsidRPr="00557367">
        <w:t xml:space="preserve">, these studies show how </w:t>
      </w:r>
      <w:r w:rsidR="006B1F21" w:rsidRPr="00557367">
        <w:t xml:space="preserve">the gender gap in </w:t>
      </w:r>
      <w:r w:rsidR="003D0E4F" w:rsidRPr="00557367">
        <w:t xml:space="preserve">levels of </w:t>
      </w:r>
      <w:r w:rsidR="006B1F21" w:rsidRPr="00557367">
        <w:t xml:space="preserve">political </w:t>
      </w:r>
      <w:r w:rsidR="003D0E4F" w:rsidRPr="00557367">
        <w:t xml:space="preserve">engagement </w:t>
      </w:r>
      <w:r w:rsidR="00A8436B" w:rsidRPr="00557367">
        <w:t xml:space="preserve">can be </w:t>
      </w:r>
      <w:r w:rsidR="002862FE" w:rsidRPr="00557367">
        <w:t xml:space="preserve">reduced </w:t>
      </w:r>
      <w:r w:rsidR="00A8436B" w:rsidRPr="00557367">
        <w:t>in the presence of inclusive institutions</w:t>
      </w:r>
      <w:r w:rsidR="00AE21D3" w:rsidRPr="00557367">
        <w:t>, most notably having a PR electoral system</w:t>
      </w:r>
      <w:r w:rsidR="00103082" w:rsidRPr="00557367">
        <w:t>, as these attenuate</w:t>
      </w:r>
      <w:r w:rsidR="003D0E4F" w:rsidRPr="00557367">
        <w:t xml:space="preserve"> </w:t>
      </w:r>
      <w:r w:rsidR="00AF5DB8" w:rsidRPr="00557367">
        <w:t xml:space="preserve">the </w:t>
      </w:r>
      <w:r w:rsidR="00390A10" w:rsidRPr="00557367">
        <w:t xml:space="preserve">negative </w:t>
      </w:r>
      <w:r w:rsidR="00AF5DB8" w:rsidRPr="00557367">
        <w:t xml:space="preserve">effect of </w:t>
      </w:r>
      <w:r w:rsidR="00390A10" w:rsidRPr="00557367">
        <w:t xml:space="preserve">some </w:t>
      </w:r>
      <w:r w:rsidR="00AF5DB8" w:rsidRPr="00557367">
        <w:t>individual factors</w:t>
      </w:r>
      <w:r w:rsidR="006B1F21" w:rsidRPr="00557367">
        <w:t xml:space="preserve">. </w:t>
      </w:r>
    </w:p>
    <w:p w14:paraId="3FEAC659" w14:textId="291F8D2B" w:rsidR="00AF5DB8" w:rsidRPr="00557367" w:rsidRDefault="00AF5DB8" w:rsidP="00813421">
      <w:r w:rsidRPr="00557367">
        <w:t>Overall, the literature</w:t>
      </w:r>
      <w:r w:rsidR="00AE21D3" w:rsidRPr="00557367">
        <w:t xml:space="preserve"> here reviewed</w:t>
      </w:r>
      <w:r w:rsidRPr="00557367">
        <w:t xml:space="preserve"> </w:t>
      </w:r>
      <w:r w:rsidR="00103082" w:rsidRPr="00557367">
        <w:t xml:space="preserve">signals that (generalist) </w:t>
      </w:r>
      <w:r w:rsidR="00F10A1A" w:rsidRPr="00557367">
        <w:t xml:space="preserve">discussion about political matters can be understood as the result of both </w:t>
      </w:r>
      <w:r w:rsidRPr="00557367">
        <w:t>individual as well a</w:t>
      </w:r>
      <w:r w:rsidR="006B1F21" w:rsidRPr="00557367">
        <w:t xml:space="preserve">s contextual indicators. </w:t>
      </w:r>
      <w:r w:rsidR="00F10A1A" w:rsidRPr="00557367">
        <w:t>Among the former, g</w:t>
      </w:r>
      <w:r w:rsidR="006B1F21" w:rsidRPr="00557367">
        <w:t>ender</w:t>
      </w:r>
      <w:r w:rsidR="00F10A1A" w:rsidRPr="00557367">
        <w:t xml:space="preserve">, education </w:t>
      </w:r>
      <w:r w:rsidR="00687EBA" w:rsidRPr="00557367">
        <w:t xml:space="preserve">and </w:t>
      </w:r>
      <w:r w:rsidR="00390A10" w:rsidRPr="00557367">
        <w:t xml:space="preserve">socioeconomic status </w:t>
      </w:r>
      <w:r w:rsidR="00F10A1A" w:rsidRPr="00557367">
        <w:t xml:space="preserve">should be highlighted. At the </w:t>
      </w:r>
      <w:r w:rsidR="00390A10" w:rsidRPr="00557367">
        <w:t xml:space="preserve">macro </w:t>
      </w:r>
      <w:r w:rsidR="00F10A1A" w:rsidRPr="00557367">
        <w:t xml:space="preserve">level, </w:t>
      </w:r>
      <w:r w:rsidR="00534A4F" w:rsidRPr="00557367">
        <w:t xml:space="preserve">there is </w:t>
      </w:r>
      <w:r w:rsidR="003D0E4F" w:rsidRPr="00557367">
        <w:t xml:space="preserve">mixed </w:t>
      </w:r>
      <w:r w:rsidR="00534A4F" w:rsidRPr="00557367">
        <w:t xml:space="preserve">evidence that </w:t>
      </w:r>
      <w:r w:rsidR="00F10A1A" w:rsidRPr="00557367">
        <w:t>higher economic development</w:t>
      </w:r>
      <w:r w:rsidR="004C2ED1" w:rsidRPr="00557367">
        <w:t xml:space="preserve"> </w:t>
      </w:r>
      <w:r w:rsidR="00534A4F" w:rsidRPr="00557367">
        <w:t xml:space="preserve">fosters </w:t>
      </w:r>
      <w:r w:rsidR="003D0E4F" w:rsidRPr="00557367">
        <w:t xml:space="preserve">discussion </w:t>
      </w:r>
      <w:r w:rsidR="004C2ED1" w:rsidRPr="00557367">
        <w:t>and</w:t>
      </w:r>
      <w:r w:rsidR="00F10A1A" w:rsidRPr="00557367">
        <w:t xml:space="preserve"> </w:t>
      </w:r>
      <w:r w:rsidR="00534A4F" w:rsidRPr="00557367">
        <w:t xml:space="preserve">strong </w:t>
      </w:r>
      <w:r w:rsidR="00390A10" w:rsidRPr="00557367">
        <w:t>signs</w:t>
      </w:r>
      <w:r w:rsidR="00534A4F" w:rsidRPr="00557367">
        <w:t xml:space="preserve"> that </w:t>
      </w:r>
      <w:r w:rsidR="006B1F21" w:rsidRPr="00557367">
        <w:t>institutions</w:t>
      </w:r>
      <w:r w:rsidR="00F10A1A" w:rsidRPr="00557367">
        <w:t xml:space="preserve"> induc</w:t>
      </w:r>
      <w:r w:rsidR="00D24B6B" w:rsidRPr="00557367">
        <w:t>ing</w:t>
      </w:r>
      <w:r w:rsidR="00F10A1A" w:rsidRPr="00557367">
        <w:t xml:space="preserve"> </w:t>
      </w:r>
      <w:r w:rsidR="006B1F21" w:rsidRPr="00557367">
        <w:t xml:space="preserve">power-sharing </w:t>
      </w:r>
      <w:r w:rsidR="00103082" w:rsidRPr="00557367">
        <w:t xml:space="preserve">facilitate </w:t>
      </w:r>
      <w:r w:rsidR="004C2ED1" w:rsidRPr="00557367">
        <w:t>political discussion.</w:t>
      </w:r>
      <w:r w:rsidR="00F10A1A" w:rsidRPr="00557367">
        <w:t xml:space="preserve"> </w:t>
      </w:r>
    </w:p>
    <w:p w14:paraId="43F26227" w14:textId="77777777" w:rsidR="00AF5DB8" w:rsidRPr="00557367" w:rsidRDefault="00AF5DB8" w:rsidP="00813421"/>
    <w:p w14:paraId="0037B1FF" w14:textId="57651D46" w:rsidR="00287975" w:rsidRPr="00557367" w:rsidRDefault="00433639" w:rsidP="00813421">
      <w:pPr>
        <w:rPr>
          <w:i/>
        </w:rPr>
      </w:pPr>
      <w:r w:rsidRPr="00557367">
        <w:rPr>
          <w:i/>
        </w:rPr>
        <w:t xml:space="preserve">2.2. </w:t>
      </w:r>
      <w:r w:rsidR="00245F0F" w:rsidRPr="00557367">
        <w:rPr>
          <w:i/>
        </w:rPr>
        <w:t>Other relevant research</w:t>
      </w:r>
    </w:p>
    <w:p w14:paraId="33BF9BD7" w14:textId="518DB96B" w:rsidR="00AF5D6C" w:rsidRPr="00557367" w:rsidRDefault="00ED4D60" w:rsidP="00813421">
      <w:pPr>
        <w:autoSpaceDE w:val="0"/>
        <w:autoSpaceDN w:val="0"/>
        <w:adjustRightInd w:val="0"/>
        <w:ind w:firstLine="708"/>
      </w:pPr>
      <w:r w:rsidRPr="00557367">
        <w:t>Frequency of p</w:t>
      </w:r>
      <w:r w:rsidR="00AF5D6C" w:rsidRPr="00557367">
        <w:t xml:space="preserve">olitical discussion has been found to be </w:t>
      </w:r>
      <w:r w:rsidR="00630FCB" w:rsidRPr="00557367">
        <w:t xml:space="preserve">highly </w:t>
      </w:r>
      <w:r w:rsidR="00AF5D6C" w:rsidRPr="00557367">
        <w:t>correlated with variables such as subjective interest in politics</w:t>
      </w:r>
      <w:r w:rsidR="00630FCB" w:rsidRPr="00557367">
        <w:t>, political sophistication</w:t>
      </w:r>
      <w:r w:rsidR="00AE2A5E" w:rsidRPr="00557367">
        <w:t xml:space="preserve"> and </w:t>
      </w:r>
      <w:r w:rsidR="00AF5D6C" w:rsidRPr="00557367">
        <w:t xml:space="preserve">exposure to </w:t>
      </w:r>
      <w:r w:rsidR="00ED7FFD" w:rsidRPr="00557367">
        <w:t xml:space="preserve">news </w:t>
      </w:r>
      <w:r w:rsidR="00AF5D6C" w:rsidRPr="00557367">
        <w:t xml:space="preserve">coverage of </w:t>
      </w:r>
      <w:r w:rsidR="00630FCB" w:rsidRPr="00557367">
        <w:t xml:space="preserve">current </w:t>
      </w:r>
      <w:r w:rsidR="00AF5D6C" w:rsidRPr="00557367">
        <w:t>affairs</w:t>
      </w:r>
      <w:r w:rsidR="00103082" w:rsidRPr="00557367">
        <w:t xml:space="preserve"> </w:t>
      </w:r>
      <w:r w:rsidR="00103082" w:rsidRPr="00557367">
        <w:fldChar w:fldCharType="begin"/>
      </w:r>
      <w:r w:rsidR="000153DF" w:rsidRPr="00557367">
        <w:instrText xml:space="preserve"> ADDIN ZOTERO_ITEM CSL_CITATION {"citationID":"F2NrDTXQ","properties":{"formattedCitation":"(Kittilson and Schwindt-Bayer, 2010, p. 995)","plainCitation":"(Kittilson and Schwindt-Bayer, 2010, p. 995)"},"citationItems":[{"id":2661,"uris":["http://zotero.org/users/109723/items/UKP66PUS"],"uri":["http://zotero.org/users/109723/items/UKP66PUS"],"itemData":{"id":2661,"type":"article-journal","title":"Engaging Citizens: The Role of Power-Sharing Institutions","container-title":"Journal of Politics","page":"990-1002","volume":"72","issue":"4","source":"CrossRef","DOI":"10.1017/S0022381610000484","ISSN":"0022-3816, 1468-2508","shortTitle":"Engaging Citizens","language":"en","author":[{"family":"Kittilson","given":"Miki Caul"},{"family":"Schwindt-Bayer","given":"Leslie"}],"issued":{"date-parts":[["2010",10]]}},"locator":"995"}],"schema":"https://github.com/citation-style-language/schema/raw/master/csl-citation.json"} </w:instrText>
      </w:r>
      <w:r w:rsidR="00103082" w:rsidRPr="00557367">
        <w:fldChar w:fldCharType="separate"/>
      </w:r>
      <w:r w:rsidR="00103082" w:rsidRPr="00557367">
        <w:t>(Kittilson and Schwindt-Bayer, 2010, p. 995)</w:t>
      </w:r>
      <w:r w:rsidR="00103082" w:rsidRPr="00557367">
        <w:fldChar w:fldCharType="end"/>
      </w:r>
      <w:r w:rsidR="00AF5D6C" w:rsidRPr="00557367">
        <w:t>.</w:t>
      </w:r>
      <w:r w:rsidR="00630FCB" w:rsidRPr="00557367">
        <w:t xml:space="preserve"> </w:t>
      </w:r>
      <w:r w:rsidR="006F11DC" w:rsidRPr="00557367">
        <w:t xml:space="preserve">Unlike political discussion, however, </w:t>
      </w:r>
      <w:r w:rsidR="00433639" w:rsidRPr="00557367">
        <w:t xml:space="preserve">the roots of </w:t>
      </w:r>
      <w:r w:rsidR="006F11DC" w:rsidRPr="00557367">
        <w:t>s</w:t>
      </w:r>
      <w:r w:rsidR="00630FCB" w:rsidRPr="00557367">
        <w:t xml:space="preserve">ome of these </w:t>
      </w:r>
      <w:r w:rsidRPr="00557367">
        <w:t xml:space="preserve">outcomes </w:t>
      </w:r>
      <w:r w:rsidR="00630FCB" w:rsidRPr="00557367">
        <w:t xml:space="preserve">have been </w:t>
      </w:r>
      <w:r w:rsidR="006F11DC" w:rsidRPr="00557367">
        <w:t xml:space="preserve">disentangled </w:t>
      </w:r>
      <w:r w:rsidR="00CD1184" w:rsidRPr="00557367">
        <w:t>based on the territorial level at stake</w:t>
      </w:r>
      <w:r w:rsidR="008324F2" w:rsidRPr="00557367">
        <w:t xml:space="preserve"> when featuring models as dependent variables</w:t>
      </w:r>
      <w:r w:rsidR="00630FCB" w:rsidRPr="00557367">
        <w:t xml:space="preserve">. </w:t>
      </w:r>
      <w:r w:rsidR="007D3C1E" w:rsidRPr="00557367">
        <w:t xml:space="preserve">This has allowed </w:t>
      </w:r>
      <w:r w:rsidR="00630FCB" w:rsidRPr="00557367">
        <w:t xml:space="preserve">some established findings about the </w:t>
      </w:r>
      <w:r w:rsidR="00AE2A5E" w:rsidRPr="00557367">
        <w:t xml:space="preserve">engagement </w:t>
      </w:r>
      <w:r w:rsidR="00630FCB" w:rsidRPr="00557367">
        <w:t>of specific groups of the citizenry</w:t>
      </w:r>
      <w:r w:rsidR="00360937" w:rsidRPr="00557367">
        <w:t xml:space="preserve"> </w:t>
      </w:r>
      <w:r w:rsidR="007D3C1E" w:rsidRPr="00557367">
        <w:t xml:space="preserve">to be </w:t>
      </w:r>
      <w:r w:rsidR="00360937" w:rsidRPr="00557367">
        <w:t>challenged</w:t>
      </w:r>
      <w:r w:rsidR="00630FCB" w:rsidRPr="00557367">
        <w:t xml:space="preserve">. </w:t>
      </w:r>
      <w:r w:rsidR="002811FD" w:rsidRPr="00557367">
        <w:t xml:space="preserve">The remainder of this section covers </w:t>
      </w:r>
      <w:r w:rsidR="001000C0" w:rsidRPr="00557367">
        <w:t xml:space="preserve">the findings of studies </w:t>
      </w:r>
      <w:r w:rsidR="00AF5D6C" w:rsidRPr="00557367">
        <w:t xml:space="preserve">that </w:t>
      </w:r>
      <w:r w:rsidR="001000C0" w:rsidRPr="00557367">
        <w:t xml:space="preserve">have </w:t>
      </w:r>
      <w:r w:rsidR="00AF5D6C" w:rsidRPr="00557367">
        <w:t>dealt wit</w:t>
      </w:r>
      <w:r w:rsidR="00630FCB" w:rsidRPr="00557367">
        <w:t xml:space="preserve">h </w:t>
      </w:r>
      <w:r w:rsidR="0074474B" w:rsidRPr="00557367">
        <w:t xml:space="preserve">these </w:t>
      </w:r>
      <w:r w:rsidR="00630FCB" w:rsidRPr="00557367">
        <w:t>outcomes and that inform the development of our hypotheses.</w:t>
      </w:r>
    </w:p>
    <w:p w14:paraId="08E44405" w14:textId="66D7307B" w:rsidR="00C04D92" w:rsidRPr="00557367" w:rsidRDefault="001B0429" w:rsidP="00813421">
      <w:r w:rsidRPr="00557367">
        <w:lastRenderedPageBreak/>
        <w:t>As mentioned above, g</w:t>
      </w:r>
      <w:r w:rsidR="009558B6" w:rsidRPr="00557367">
        <w:t>ender</w:t>
      </w:r>
      <w:r w:rsidR="002925B9" w:rsidRPr="00557367">
        <w:t xml:space="preserve"> </w:t>
      </w:r>
      <w:r w:rsidR="009558B6" w:rsidRPr="00557367">
        <w:t xml:space="preserve">is </w:t>
      </w:r>
      <w:r w:rsidR="00052255" w:rsidRPr="00557367">
        <w:t xml:space="preserve">regarded </w:t>
      </w:r>
      <w:r w:rsidR="009558B6" w:rsidRPr="00557367">
        <w:t xml:space="preserve">as a </w:t>
      </w:r>
      <w:r w:rsidR="005C561A" w:rsidRPr="00557367">
        <w:t xml:space="preserve">reliable predictor of </w:t>
      </w:r>
      <w:r w:rsidR="00ED4D60" w:rsidRPr="00557367">
        <w:t>political discussion</w:t>
      </w:r>
      <w:r w:rsidR="009558B6" w:rsidRPr="00557367">
        <w:t xml:space="preserve">, </w:t>
      </w:r>
      <w:r w:rsidR="007E6577" w:rsidRPr="00557367">
        <w:t xml:space="preserve">with </w:t>
      </w:r>
      <w:r w:rsidR="009558B6" w:rsidRPr="00557367">
        <w:t xml:space="preserve">women </w:t>
      </w:r>
      <w:r w:rsidR="007E6577" w:rsidRPr="00557367">
        <w:t xml:space="preserve">being generally </w:t>
      </w:r>
      <w:r w:rsidR="009558B6" w:rsidRPr="00557367">
        <w:t xml:space="preserve">less </w:t>
      </w:r>
      <w:r w:rsidR="00334B68" w:rsidRPr="00557367">
        <w:t>akin to be engaged in politics</w:t>
      </w:r>
      <w:r w:rsidRPr="00557367">
        <w:t>.</w:t>
      </w:r>
      <w:r w:rsidR="00194822" w:rsidRPr="00557367">
        <w:t xml:space="preserve"> </w:t>
      </w:r>
      <w:r w:rsidRPr="00557367">
        <w:t>However, b</w:t>
      </w:r>
      <w:r w:rsidR="009558B6" w:rsidRPr="00557367">
        <w:t xml:space="preserve">ased on an analysis of data from a British sample, </w:t>
      </w:r>
      <w:proofErr w:type="spellStart"/>
      <w:r w:rsidR="009558B6" w:rsidRPr="00557367">
        <w:t>Coffé</w:t>
      </w:r>
      <w:proofErr w:type="spellEnd"/>
      <w:r w:rsidR="009558B6" w:rsidRPr="00557367">
        <w:t xml:space="preserve"> </w:t>
      </w:r>
      <w:r w:rsidR="00833079" w:rsidRPr="00557367">
        <w:fldChar w:fldCharType="begin"/>
      </w:r>
      <w:r w:rsidR="00E40197" w:rsidRPr="00557367">
        <w:instrText xml:space="preserve"> ADDIN ZOTERO_ITEM CSL_CITATION {"citationID":"gj6nIsrr","properties":{"formattedCitation":"(2013)","plainCitation":"(2013)"},"citationItems":[{"id":576,"uris":["http://zotero.org/users/109723/items/KWVVXAJG"],"uri":["http://zotero.org/users/109723/items/KWVVXAJG"],"itemData":{"id":576,"type":"article-journal","title":"Women Stay Local, Men Go National and Global? Gender Differences in Political Interest","container-title":"Sex Roles","page":"323-338","volume":"69","issue":"5-6","source":"ISI Web of Knowledge","abstract":"This study challenges the idea that women are less interested in politics than men by arguing that women are not less interested in politics but, rather, are interested in different issues. I decompose the concept of general political interest into interest in local, national and international issues and investigate gender differences in interest in these different issues, as well as in politics in general. Ordinary Least Squares (OLS) regression analyses, based on data collected in 2011 (British Participation Survey) on a representative sample of British citizens (N = 1,353), reveal no substantial gender difference in interest in local issues. Once political efficacy is controlled for, however, women are more likely than men to be interested in local issues. Furthermore, women are less likely to be interested in national and international issues, as well as politics in general, than men. Further analyses demonstrate that part of the gap in general political interest may be explained by the fact that interest in politics is primarily understood as interest in national politics, an issue in which men are more likely to be interested than women. In summary, the results highlight the need to clarify the concept of 'politics' and to move towards the notion that women and men are interested in different issues, rather than the notion that women are less politically interested than men.","DOI":"10.1007/s11199-013-0308-x","ISSN":"0360-0025","note":"WOS:000323069500008","shortTitle":"Women Stay Local, Men Go National and Global?","journalAbbreviation":"Sex Roles","language":"English","author":[{"family":"Coffé","given":"Hilde"}],"issued":{"date-parts":[["2013",9]]}},"suppress-author":true}],"schema":"https://github.com/citation-style-language/schema/raw/master/csl-citation.json"} </w:instrText>
      </w:r>
      <w:r w:rsidR="00833079" w:rsidRPr="00557367">
        <w:fldChar w:fldCharType="separate"/>
      </w:r>
      <w:r w:rsidR="00F10CBD" w:rsidRPr="00557367">
        <w:t>(2013)</w:t>
      </w:r>
      <w:r w:rsidR="00833079" w:rsidRPr="00557367">
        <w:fldChar w:fldCharType="end"/>
      </w:r>
      <w:r w:rsidR="00490AF6" w:rsidRPr="00557367">
        <w:t xml:space="preserve"> shows that male respondents tend to report higher levels of </w:t>
      </w:r>
      <w:r w:rsidR="001C0FE9" w:rsidRPr="00557367">
        <w:t xml:space="preserve">subjective </w:t>
      </w:r>
      <w:r w:rsidR="00490AF6" w:rsidRPr="00557367">
        <w:t>interest in national and international</w:t>
      </w:r>
      <w:r w:rsidR="001C0FE9" w:rsidRPr="00557367">
        <w:t xml:space="preserve"> issues</w:t>
      </w:r>
      <w:r w:rsidR="00490AF6" w:rsidRPr="00557367">
        <w:t xml:space="preserve">, </w:t>
      </w:r>
      <w:r w:rsidR="007E6577" w:rsidRPr="00557367">
        <w:t xml:space="preserve">whereas </w:t>
      </w:r>
      <w:r w:rsidR="00490AF6" w:rsidRPr="00557367">
        <w:t xml:space="preserve">female respondents are </w:t>
      </w:r>
      <w:r w:rsidR="002811FD" w:rsidRPr="00557367">
        <w:t xml:space="preserve">relatively </w:t>
      </w:r>
      <w:r w:rsidR="00490AF6" w:rsidRPr="00557367">
        <w:t xml:space="preserve">more </w:t>
      </w:r>
      <w:r w:rsidR="00D24B6B" w:rsidRPr="00557367">
        <w:t xml:space="preserve">interested </w:t>
      </w:r>
      <w:r w:rsidR="00490AF6" w:rsidRPr="00557367">
        <w:t xml:space="preserve">in local </w:t>
      </w:r>
      <w:r w:rsidR="001C0FE9" w:rsidRPr="00557367">
        <w:t>affairs</w:t>
      </w:r>
      <w:r w:rsidR="00490AF6" w:rsidRPr="00557367">
        <w:t xml:space="preserve">. </w:t>
      </w:r>
      <w:r w:rsidR="005C561A" w:rsidRPr="00557367">
        <w:t>Therefore,</w:t>
      </w:r>
      <w:r w:rsidR="00C04D92" w:rsidRPr="00557367">
        <w:t xml:space="preserve"> i</w:t>
      </w:r>
      <w:r w:rsidR="00490AF6" w:rsidRPr="00557367">
        <w:t xml:space="preserve">dentifying politics </w:t>
      </w:r>
      <w:r w:rsidR="008679EC" w:rsidRPr="00557367">
        <w:t xml:space="preserve">exclusively </w:t>
      </w:r>
      <w:r w:rsidR="00490AF6" w:rsidRPr="00557367">
        <w:t xml:space="preserve">with the national sphere may </w:t>
      </w:r>
      <w:r w:rsidR="00F16117" w:rsidRPr="00557367">
        <w:t xml:space="preserve">induce </w:t>
      </w:r>
      <w:r w:rsidR="00C04D92" w:rsidRPr="00557367">
        <w:t xml:space="preserve">an </w:t>
      </w:r>
      <w:r w:rsidR="00F16117" w:rsidRPr="00557367">
        <w:t>overestimation of the political apathy of women</w:t>
      </w:r>
      <w:r w:rsidR="001C0FE9" w:rsidRPr="00557367">
        <w:t xml:space="preserve">, and exaggerate the </w:t>
      </w:r>
      <w:r w:rsidR="0074474B" w:rsidRPr="00557367">
        <w:t xml:space="preserve">perceived </w:t>
      </w:r>
      <w:r w:rsidR="001C0FE9" w:rsidRPr="00557367">
        <w:t>gender gap in political engagement</w:t>
      </w:r>
      <w:r w:rsidR="00490AF6" w:rsidRPr="00557367">
        <w:t>.</w:t>
      </w:r>
      <w:r w:rsidR="009B1F02" w:rsidRPr="00557367">
        <w:t xml:space="preserve"> </w:t>
      </w:r>
    </w:p>
    <w:p w14:paraId="08E44407" w14:textId="30DD3A28" w:rsidR="00D52B47" w:rsidRPr="00557367" w:rsidRDefault="00EC6E48" w:rsidP="00813421">
      <w:r w:rsidRPr="00557367">
        <w:t xml:space="preserve">Studies </w:t>
      </w:r>
      <w:r w:rsidR="005979E5" w:rsidRPr="00557367">
        <w:t xml:space="preserve">of political </w:t>
      </w:r>
      <w:r w:rsidR="006F11DC" w:rsidRPr="00557367">
        <w:t xml:space="preserve">sophistication </w:t>
      </w:r>
      <w:r w:rsidR="00F32402" w:rsidRPr="00557367">
        <w:t xml:space="preserve">provide another interesting source of insights about differences </w:t>
      </w:r>
      <w:r w:rsidR="009151E9" w:rsidRPr="00557367">
        <w:t xml:space="preserve">in political involvement </w:t>
      </w:r>
      <w:r w:rsidR="00F32402" w:rsidRPr="00557367">
        <w:t xml:space="preserve">depending on the level at stake. </w:t>
      </w:r>
      <w:r w:rsidR="009151E9" w:rsidRPr="00557367">
        <w:t>T</w:t>
      </w:r>
      <w:r w:rsidR="00F32402" w:rsidRPr="00557367">
        <w:t xml:space="preserve">his branch of research draws </w:t>
      </w:r>
      <w:r w:rsidR="005979E5" w:rsidRPr="00557367">
        <w:t xml:space="preserve">mostly from the performance of </w:t>
      </w:r>
      <w:r w:rsidR="007E6577" w:rsidRPr="00557367">
        <w:t xml:space="preserve">individuals when questioned </w:t>
      </w:r>
      <w:r w:rsidR="005979E5" w:rsidRPr="00557367">
        <w:t>about national and international political matters</w:t>
      </w:r>
      <w:r w:rsidR="00643612" w:rsidRPr="00557367">
        <w:t xml:space="preserve"> </w:t>
      </w:r>
      <w:r w:rsidR="00833079" w:rsidRPr="00557367">
        <w:fldChar w:fldCharType="begin"/>
      </w:r>
      <w:r w:rsidR="00E40197" w:rsidRPr="00557367">
        <w:instrText xml:space="preserve"> ADDIN ZOTERO_ITEM CSL_CITATION {"citationID":"BHvw31Rz","properties":{"formattedCitation":"(Zaller, 1992)","plainCitation":"(Zaller, 1992)"},"citationItems":[{"id":212,"uris":["http://zotero.org/users/109723/items/93MIPRIG"],"uri":["http://zotero.org/users/109723/items/93MIPRIG"],"itemData":{"id":212,"type":"book","title":"The nature and origins of mass opinion","publisher":"Cambridge University Press","publisher-place":"Cambridge","source":"Open WorldCat","event-place":"Cambridge","abstract":"Zaller develops a comprehensive theory to explain how people acquire political information from the mass media and convert it into political preferences, and applies it to both domestic and foreign policy, trust in government, racial equality, presidential approval, and voting behaviour.","ISBN":"0-521-40449-5","language":"English","author":[{"family":"Zaller","given":"John"}],"issued":{"date-parts":[["1992"]]}}}],"schema":"https://github.com/citation-style-language/schema/raw/master/csl-citation.json"} </w:instrText>
      </w:r>
      <w:r w:rsidR="00833079" w:rsidRPr="00557367">
        <w:fldChar w:fldCharType="separate"/>
      </w:r>
      <w:r w:rsidR="00F10CBD" w:rsidRPr="00557367">
        <w:t>(Zaller, 1992)</w:t>
      </w:r>
      <w:r w:rsidR="00833079" w:rsidRPr="00557367">
        <w:fldChar w:fldCharType="end"/>
      </w:r>
      <w:r w:rsidR="005979E5" w:rsidRPr="00557367">
        <w:t xml:space="preserve">. </w:t>
      </w:r>
      <w:r w:rsidR="00A65F51" w:rsidRPr="00557367">
        <w:t xml:space="preserve">However, if </w:t>
      </w:r>
      <w:r w:rsidR="001B0429" w:rsidRPr="00557367">
        <w:t>one concedes</w:t>
      </w:r>
      <w:r w:rsidR="0096780E" w:rsidRPr="00557367">
        <w:t xml:space="preserve"> that politics </w:t>
      </w:r>
      <w:r w:rsidR="0074474B" w:rsidRPr="00557367">
        <w:t xml:space="preserve">takes place </w:t>
      </w:r>
      <w:r w:rsidR="00B7474C" w:rsidRPr="00557367">
        <w:t xml:space="preserve">along </w:t>
      </w:r>
      <w:r w:rsidR="00A65F51" w:rsidRPr="00557367">
        <w:t xml:space="preserve">multiple </w:t>
      </w:r>
      <w:r w:rsidRPr="00557367">
        <w:t xml:space="preserve">territorial </w:t>
      </w:r>
      <w:r w:rsidR="00CA544B" w:rsidRPr="00557367">
        <w:t>layers</w:t>
      </w:r>
      <w:r w:rsidR="00A65F51" w:rsidRPr="00557367">
        <w:t xml:space="preserve">, then questions </w:t>
      </w:r>
      <w:r w:rsidR="007E6577" w:rsidRPr="00557367">
        <w:t>employed</w:t>
      </w:r>
      <w:r w:rsidR="00A65F51" w:rsidRPr="00557367">
        <w:t xml:space="preserve"> to measure </w:t>
      </w:r>
      <w:r w:rsidR="00D9299A" w:rsidRPr="00557367">
        <w:t>sophistication</w:t>
      </w:r>
      <w:r w:rsidR="00A65F51" w:rsidRPr="00557367">
        <w:t xml:space="preserve"> should be </w:t>
      </w:r>
      <w:r w:rsidR="005301E5" w:rsidRPr="00557367">
        <w:t>adjusted accordingly</w:t>
      </w:r>
      <w:r w:rsidR="00DA1190" w:rsidRPr="00557367">
        <w:t xml:space="preserve">. </w:t>
      </w:r>
      <w:r w:rsidR="00A65F51" w:rsidRPr="00557367">
        <w:t xml:space="preserve">Shaker </w:t>
      </w:r>
      <w:r w:rsidR="00833079" w:rsidRPr="00557367">
        <w:fldChar w:fldCharType="begin"/>
      </w:r>
      <w:r w:rsidR="00E40197" w:rsidRPr="00557367">
        <w:instrText xml:space="preserve"> ADDIN ZOTERO_ITEM CSL_CITATION {"citationID":"XPE5jxsU","properties":{"formattedCitation":"(2012)","plainCitation":"(2012)"},"citationItems":[{"id":910,"uris":["http://zotero.org/users/109723/items/ZP7PFE3B"],"uri":["http://zotero.org/users/109723/items/ZP7PFE3B"],"itemData":{"id":910,"type":"article-journal","title":"Local Political Knowledge and Assessments of Citizen Competence","container-title":"Public Opinion Quarterly","page":"525-537","volume":"76","issue":"3","source":"poq.oxfordjournals.org","abstract":"This article contrasts the national and local political knowledge of a random sample of 993 Philadelphians with the aim of enhancing the scholarly understanding of citizen competence. Empirical study of citizen competence extends back more than fifty years, but the survey data that have been brought to bear upon the topic are almost exclusively focused on national-level politics. Consequently, sweeping conclusions about the competence of the American public rest upon a narrow foundation. The comparisons in this article depict a slew of differences in the distribution of knowledge across national and local politics, many of which challenge established notions of who is politically knowledgeable. This, in turn, has implications for which members of society are seen as politically competent and how competent the public as a whole is thought to be.","DOI":"10.1093/poq/nfs018","ISSN":"0033-362X, 1537-5331","journalAbbreviation":"Public Opin Q","language":"en","author":[{"family":"Shaker","given":"Lee"}],"issued":{"date-parts":[["2012",9,21]]}},"suppress-author":true}],"schema":"https://github.com/citation-style-language/schema/raw/master/csl-citation.json"} </w:instrText>
      </w:r>
      <w:r w:rsidR="00833079" w:rsidRPr="00557367">
        <w:fldChar w:fldCharType="separate"/>
      </w:r>
      <w:r w:rsidR="00F10CBD" w:rsidRPr="00557367">
        <w:t>(2012)</w:t>
      </w:r>
      <w:r w:rsidR="00833079" w:rsidRPr="00557367">
        <w:fldChar w:fldCharType="end"/>
      </w:r>
      <w:r w:rsidR="00A65F51" w:rsidRPr="00557367">
        <w:t xml:space="preserve"> </w:t>
      </w:r>
      <w:r w:rsidR="00D24B6B" w:rsidRPr="00557367">
        <w:t xml:space="preserve">analyses </w:t>
      </w:r>
      <w:r w:rsidR="00A65F51" w:rsidRPr="00557367">
        <w:t xml:space="preserve">the </w:t>
      </w:r>
      <w:r w:rsidR="00723F1B" w:rsidRPr="00557367">
        <w:t>distribution of polit</w:t>
      </w:r>
      <w:r w:rsidR="00713F4C" w:rsidRPr="00557367">
        <w:t>ical knowledge</w:t>
      </w:r>
      <w:r w:rsidR="00A65F51" w:rsidRPr="00557367">
        <w:t xml:space="preserve"> about </w:t>
      </w:r>
      <w:r w:rsidR="00F600B1" w:rsidRPr="00557367">
        <w:t>local and national matters in Philadelphia, USA</w:t>
      </w:r>
      <w:r w:rsidR="0074474B" w:rsidRPr="00557367">
        <w:t xml:space="preserve"> and his </w:t>
      </w:r>
      <w:r w:rsidR="001A5F19" w:rsidRPr="00557367">
        <w:t xml:space="preserve">findings challenge the </w:t>
      </w:r>
      <w:r w:rsidR="00D24B6B" w:rsidRPr="00557367">
        <w:t xml:space="preserve">established </w:t>
      </w:r>
      <w:r w:rsidR="006F11DC" w:rsidRPr="00557367">
        <w:t>perception</w:t>
      </w:r>
      <w:r w:rsidR="00F600B1" w:rsidRPr="00557367">
        <w:t xml:space="preserve"> </w:t>
      </w:r>
      <w:r w:rsidR="005301E5" w:rsidRPr="00557367">
        <w:t>on</w:t>
      </w:r>
      <w:r w:rsidR="001A5F19" w:rsidRPr="00557367">
        <w:t xml:space="preserve"> civic competence</w:t>
      </w:r>
      <w:r w:rsidR="00A65F51" w:rsidRPr="00557367">
        <w:t>:</w:t>
      </w:r>
      <w:r w:rsidR="001A5F19" w:rsidRPr="00557367">
        <w:t xml:space="preserve"> while </w:t>
      </w:r>
      <w:r w:rsidR="00F45CAB" w:rsidRPr="00557367">
        <w:t xml:space="preserve">the distribution of knowledge about national politics is skewed along the </w:t>
      </w:r>
      <w:r w:rsidR="001A5F19" w:rsidRPr="00557367">
        <w:t xml:space="preserve">usual </w:t>
      </w:r>
      <w:r w:rsidR="00F45CAB" w:rsidRPr="00557367">
        <w:t>lines</w:t>
      </w:r>
      <w:r w:rsidR="001A5F19" w:rsidRPr="00557367">
        <w:t xml:space="preserve"> of gender, race and socioeconomic status</w:t>
      </w:r>
      <w:r w:rsidR="00F45CAB" w:rsidRPr="00557367">
        <w:t xml:space="preserve">, </w:t>
      </w:r>
      <w:r w:rsidR="001A5F19" w:rsidRPr="00557367">
        <w:t xml:space="preserve">a </w:t>
      </w:r>
      <w:r w:rsidR="00887471" w:rsidRPr="00557367">
        <w:t xml:space="preserve">comparatively </w:t>
      </w:r>
      <w:r w:rsidR="001A5F19" w:rsidRPr="00557367">
        <w:t xml:space="preserve">less biased scenario emerges when local matters are at stake. </w:t>
      </w:r>
      <w:r w:rsidR="00ED045A" w:rsidRPr="00557367">
        <w:t>T</w:t>
      </w:r>
      <w:r w:rsidR="001A5F19" w:rsidRPr="00557367">
        <w:t>he underperformance of minorities, women and lower income people is attenuated</w:t>
      </w:r>
      <w:r w:rsidR="00ED045A" w:rsidRPr="00557367">
        <w:t xml:space="preserve"> </w:t>
      </w:r>
      <w:r w:rsidR="006F11DC" w:rsidRPr="00557367">
        <w:t xml:space="preserve">once local </w:t>
      </w:r>
      <w:r w:rsidR="00ED045A" w:rsidRPr="00557367">
        <w:t xml:space="preserve">politics </w:t>
      </w:r>
      <w:r w:rsidR="006F11DC" w:rsidRPr="00557367">
        <w:t xml:space="preserve">is </w:t>
      </w:r>
      <w:proofErr w:type="gramStart"/>
      <w:r w:rsidR="00ED045A" w:rsidRPr="00557367">
        <w:t>taken into account</w:t>
      </w:r>
      <w:proofErr w:type="gramEnd"/>
      <w:r w:rsidR="00ED045A" w:rsidRPr="00557367">
        <w:t>.</w:t>
      </w:r>
    </w:p>
    <w:p w14:paraId="3B01D389" w14:textId="1C01DBF4" w:rsidR="002811FD" w:rsidRPr="00557367" w:rsidRDefault="00EC6E48" w:rsidP="00813421">
      <w:r w:rsidRPr="00557367">
        <w:t>Analogous</w:t>
      </w:r>
      <w:r w:rsidR="00670548" w:rsidRPr="00557367">
        <w:t xml:space="preserve"> findings emerge from</w:t>
      </w:r>
      <w:r w:rsidR="001A5F19" w:rsidRPr="00557367">
        <w:t xml:space="preserve"> </w:t>
      </w:r>
      <w:r w:rsidR="001B0429" w:rsidRPr="00557367">
        <w:t xml:space="preserve">a </w:t>
      </w:r>
      <w:r w:rsidR="00670548" w:rsidRPr="00557367">
        <w:t xml:space="preserve">study </w:t>
      </w:r>
      <w:r w:rsidR="00887471" w:rsidRPr="00557367">
        <w:t xml:space="preserve">conducted </w:t>
      </w:r>
      <w:r w:rsidR="00670548" w:rsidRPr="00557367">
        <w:t xml:space="preserve">by </w:t>
      </w:r>
      <w:proofErr w:type="spellStart"/>
      <w:r w:rsidR="001A5F19" w:rsidRPr="00557367">
        <w:t>Rapeli</w:t>
      </w:r>
      <w:proofErr w:type="spellEnd"/>
      <w:r w:rsidR="001A5F19" w:rsidRPr="00557367">
        <w:t xml:space="preserve"> </w:t>
      </w:r>
      <w:r w:rsidR="00833079" w:rsidRPr="00557367">
        <w:fldChar w:fldCharType="begin"/>
      </w:r>
      <w:r w:rsidR="00E40197" w:rsidRPr="00557367">
        <w:instrText xml:space="preserve"> ADDIN ZOTERO_ITEM CSL_CITATION {"citationID":"KMPS15T7","properties":{"formattedCitation":"(2014)","plainCitation":"(2014)"},"citationItems":[{"id":558,"uris":["http://zotero.org/users/109723/items/K2GF27ND"],"uri":["http://zotero.org/users/109723/items/K2GF27ND"],"itemData":{"id":558,"type":"article-journal","title":"Comparing Local, National and EU Knowledge: The Ignorant Public Reassessed","container-title":"Scandinavian Political Studies","page":"428-446","volume":"37","issue":"4","source":"Wiley Online Library","abstract":"Empirical research has repeatedly confirmed the political ignorance of ordinary citizens, but democracy prevails. This article offers a new perspective into this paradox by arguing that typical political knowledge indicators are inadequate because they only measure national-level knowledge. The study makes two contributions. First, it compares national, local and European Union political knowledge. Second, it does so with a nationally representative dataset, which comes from a survey from Finland (n = 1,020) devoted solely to political knowledge. Two questions are posed: Are the sociodemographic determinants of knowledge the same on all levels of politics? And is public ignorance equally widespread on all levels? Challenging some established findings, the study shows that people in rural communities know more about local politics than urban counterparts, that women know more about local politics than men and that young people are equally knowledgeable about the EU as older people. The results thus indicate that people are to varying extents knowledgeable about varying aspects of politics.","DOI":"10.1111/1467-9477.12032","ISSN":"1467-9477","shortTitle":"Comparing Local, National and EU Knowledge","journalAbbreviation":"Scandinavian Political Studies","language":"en","author":[{"family":"Rapeli","given":"Lauri"}],"issued":{"date-parts":[["2014"]]}},"suppress-author":true}],"schema":"https://github.com/citation-style-language/schema/raw/master/csl-citation.json"} </w:instrText>
      </w:r>
      <w:r w:rsidR="00833079" w:rsidRPr="00557367">
        <w:fldChar w:fldCharType="separate"/>
      </w:r>
      <w:r w:rsidR="00F10CBD" w:rsidRPr="00557367">
        <w:t>(2014)</w:t>
      </w:r>
      <w:r w:rsidR="00833079" w:rsidRPr="00557367">
        <w:fldChar w:fldCharType="end"/>
      </w:r>
      <w:r w:rsidR="00670548" w:rsidRPr="00557367">
        <w:t xml:space="preserve"> </w:t>
      </w:r>
      <w:r w:rsidR="00887471" w:rsidRPr="00557367">
        <w:t xml:space="preserve">about </w:t>
      </w:r>
      <w:r w:rsidR="00670548" w:rsidRPr="00557367">
        <w:t xml:space="preserve">political knowledge in Finland. </w:t>
      </w:r>
      <w:r w:rsidR="00742D5B" w:rsidRPr="00557367">
        <w:t xml:space="preserve">Individuals from rural areas, for instance, tend to perform better when asked about their local settings than </w:t>
      </w:r>
      <w:r w:rsidR="006F11DC" w:rsidRPr="00557367">
        <w:t>their urban counterparts</w:t>
      </w:r>
      <w:r w:rsidR="00742D5B" w:rsidRPr="00557367">
        <w:t xml:space="preserve">. </w:t>
      </w:r>
      <w:r w:rsidR="00670548" w:rsidRPr="00557367">
        <w:t xml:space="preserve">In addressing citizens’ </w:t>
      </w:r>
      <w:r w:rsidR="00887471" w:rsidRPr="00557367">
        <w:t xml:space="preserve">discrepant </w:t>
      </w:r>
      <w:r w:rsidR="00670548" w:rsidRPr="00557367">
        <w:t xml:space="preserve">performances about local, national and European </w:t>
      </w:r>
      <w:r w:rsidR="00CA544B" w:rsidRPr="00557367">
        <w:t>engagement</w:t>
      </w:r>
      <w:r w:rsidR="00887471" w:rsidRPr="00557367">
        <w:t>,</w:t>
      </w:r>
      <w:r w:rsidR="00670548" w:rsidRPr="00557367">
        <w:t xml:space="preserve"> </w:t>
      </w:r>
      <w:proofErr w:type="spellStart"/>
      <w:r w:rsidR="00670548" w:rsidRPr="00557367">
        <w:t>Rapeli</w:t>
      </w:r>
      <w:proofErr w:type="spellEnd"/>
      <w:r w:rsidR="00887471" w:rsidRPr="00557367">
        <w:t xml:space="preserve"> argues </w:t>
      </w:r>
      <w:r w:rsidR="00670548" w:rsidRPr="00557367">
        <w:t xml:space="preserve">that </w:t>
      </w:r>
      <w:r w:rsidR="00CF4462" w:rsidRPr="00557367">
        <w:t xml:space="preserve">people </w:t>
      </w:r>
      <w:r w:rsidR="00887471" w:rsidRPr="00557367">
        <w:t xml:space="preserve">invest </w:t>
      </w:r>
      <w:r w:rsidR="005C561A" w:rsidRPr="00557367">
        <w:t xml:space="preserve">differently in </w:t>
      </w:r>
      <w:r w:rsidR="00887471" w:rsidRPr="00557367">
        <w:t xml:space="preserve">issues that </w:t>
      </w:r>
      <w:r w:rsidR="005C561A" w:rsidRPr="00557367">
        <w:t>are linked with specific</w:t>
      </w:r>
      <w:r w:rsidR="00887471" w:rsidRPr="00557367">
        <w:t xml:space="preserve"> territorial levels of government</w:t>
      </w:r>
      <w:r w:rsidR="00670548" w:rsidRPr="00557367">
        <w:t xml:space="preserve">. </w:t>
      </w:r>
      <w:r w:rsidR="005C561A" w:rsidRPr="00557367">
        <w:t xml:space="preserve">The corollary </w:t>
      </w:r>
      <w:r w:rsidR="00742D5B" w:rsidRPr="00557367">
        <w:t xml:space="preserve">is that “operationalising political knowledge only through national-level politics leads to a fundamentally imperfect picture of political knowledge” </w:t>
      </w:r>
      <w:r w:rsidR="00833079" w:rsidRPr="00557367">
        <w:fldChar w:fldCharType="begin"/>
      </w:r>
      <w:r w:rsidR="00E40197" w:rsidRPr="00557367">
        <w:instrText xml:space="preserve"> ADDIN ZOTERO_ITEM CSL_CITATION {"citationID":"fYoPoTgG","properties":{"formattedCitation":"(Rapeli, 2014, p. 443)","plainCitation":"(Rapeli, 2014, p. 443)"},"citationItems":[{"id":558,"uris":["http://zotero.org/users/109723/items/K2GF27ND"],"uri":["http://zotero.org/users/109723/items/K2GF27ND"],"itemData":{"id":558,"type":"article-journal","title":"Comparing Local, National and EU Knowledge: The Ignorant Public Reassessed","container-title":"Scandinavian Political Studies","page":"428-446","volume":"37","issue":"4","source":"Wiley Online Library","abstract":"Empirical research has repeatedly confirmed the political ignorance of ordinary citizens, but democracy prevails. This article offers a new perspective into this paradox by arguing that typical political knowledge indicators are inadequate because they only measure national-level knowledge. The study makes two contributions. First, it compares national, local and European Union political knowledge. Second, it does so with a nationally representative dataset, which comes from a survey from Finland (n = 1,020) devoted solely to political knowledge. Two questions are posed: Are the sociodemographic determinants of knowledge the same on all levels of politics? And is public ignorance equally widespread on all levels? Challenging some established findings, the study shows that people in rural communities know more about local politics than urban counterparts, that women know more about local politics than men and that young people are equally knowledgeable about the EU as older people. The results thus indicate that people are to varying extents knowledgeable about varying aspects of politics.","DOI":"10.1111/1467-9477.12032","ISSN":"1467-9477","shortTitle":"Comparing Local, National and EU Knowledge","journalAbbreviation":"Scandinavian Political Studies","language":"en","author":[{"family":"Rapeli","given":"Lauri"}],"issued":{"date-parts":[["2014"]]}},"locator":"443"}],"schema":"https://github.com/citation-style-language/schema/raw/master/csl-citation.json"} </w:instrText>
      </w:r>
      <w:r w:rsidR="00833079" w:rsidRPr="00557367">
        <w:fldChar w:fldCharType="separate"/>
      </w:r>
      <w:r w:rsidR="00F10CBD" w:rsidRPr="00557367">
        <w:t>(Rapeli, 2014, p. 443)</w:t>
      </w:r>
      <w:r w:rsidR="00833079" w:rsidRPr="00557367">
        <w:fldChar w:fldCharType="end"/>
      </w:r>
      <w:r w:rsidR="00742D5B" w:rsidRPr="00557367">
        <w:t>.</w:t>
      </w:r>
    </w:p>
    <w:p w14:paraId="13B46431" w14:textId="61CC73F9" w:rsidR="00D24B6B" w:rsidRPr="00557367" w:rsidRDefault="00D24B6B" w:rsidP="00813421">
      <w:r w:rsidRPr="00557367">
        <w:t xml:space="preserve">So </w:t>
      </w:r>
      <w:proofErr w:type="gramStart"/>
      <w:r w:rsidRPr="00557367">
        <w:t>far</w:t>
      </w:r>
      <w:proofErr w:type="gramEnd"/>
      <w:r w:rsidRPr="00557367">
        <w:t xml:space="preserve"> we have looked mainly at variables that are </w:t>
      </w:r>
      <w:r w:rsidR="006F11DC" w:rsidRPr="00557367">
        <w:t xml:space="preserve">highly </w:t>
      </w:r>
      <w:r w:rsidR="00F32402" w:rsidRPr="00557367">
        <w:t>cor</w:t>
      </w:r>
      <w:r w:rsidRPr="00557367">
        <w:t>related with political discussion</w:t>
      </w:r>
      <w:r w:rsidR="001E1E02" w:rsidRPr="00557367">
        <w:t>, b</w:t>
      </w:r>
      <w:r w:rsidR="001B0429" w:rsidRPr="00557367">
        <w:t xml:space="preserve">ut </w:t>
      </w:r>
      <w:r w:rsidR="00360937" w:rsidRPr="00557367">
        <w:t xml:space="preserve">other branches of </w:t>
      </w:r>
      <w:r w:rsidR="001E1E02" w:rsidRPr="00557367">
        <w:t xml:space="preserve">literature </w:t>
      </w:r>
      <w:r w:rsidR="00360937" w:rsidRPr="00557367">
        <w:t xml:space="preserve">also </w:t>
      </w:r>
      <w:r w:rsidR="008C4BCC" w:rsidRPr="00557367">
        <w:t xml:space="preserve">provide insights on how </w:t>
      </w:r>
      <w:r w:rsidR="00EE01CD" w:rsidRPr="00557367">
        <w:t>the factors behind political mobilization can differ</w:t>
      </w:r>
      <w:r w:rsidRPr="00557367">
        <w:t xml:space="preserve">. </w:t>
      </w:r>
      <w:r w:rsidR="007952FF" w:rsidRPr="00557367">
        <w:t xml:space="preserve">Research </w:t>
      </w:r>
      <w:r w:rsidRPr="00557367">
        <w:t>about the determinants of turnout in first and second</w:t>
      </w:r>
      <w:r w:rsidR="004F3918" w:rsidRPr="00557367">
        <w:t>-</w:t>
      </w:r>
      <w:r w:rsidRPr="00557367">
        <w:t xml:space="preserve">order </w:t>
      </w:r>
      <w:r w:rsidR="004F3918" w:rsidRPr="00557367">
        <w:t xml:space="preserve">elections </w:t>
      </w:r>
      <w:r w:rsidR="004F3918" w:rsidRPr="00557367">
        <w:fldChar w:fldCharType="begin"/>
      </w:r>
      <w:r w:rsidR="004F3918" w:rsidRPr="00557367">
        <w:instrText xml:space="preserve"> ADDIN ZOTERO_ITEM CSL_CITATION {"citationID":"1taifdlsjm","properties":{"formattedCitation":"(Reif and Schmitt, 1980)","plainCitation":"(Reif and Schmitt, 1980)"},"citationItems":[{"id":831,"uris":["http://zotero.org/users/109723/items/VJNU6U9X"],"uri":["http://zotero.org/users/109723/items/VJNU6U9X"],"itemData":{"id":831,"type":"article-journal","title":"Nine Second</w:instrText>
      </w:r>
      <w:r w:rsidR="004F3918" w:rsidRPr="00557367">
        <w:rPr>
          <w:rFonts w:ascii="Cambria Math" w:hAnsi="Cambria Math" w:cs="Cambria Math"/>
        </w:rPr>
        <w:instrText>‐</w:instrText>
      </w:r>
      <w:r w:rsidR="004F3918" w:rsidRPr="00557367">
        <w:instrText xml:space="preserve">order National Elections – a Conceptual Framework for the Analysis of European Election Results","container-title":"European Journal of Political Research","page":"3-44","volume":"8","issue":"1","source":"Wiley Online Library","abstract":"The composition of the directly elected European Parliament does not precisely reflect the “real” balance of political forces in the European Community. As long as the national political systems decide most of what there is to be decided politically, and everything really important, European elections are additional national second-order elections. They are determined more by the domestic political cleavages than by alternatives originating in the EC, but in a different way than if nine first-order national elections took place simultaneously. This is the case because European elections occur at different stages of the national political systems' respective “electoral cycles”. Such a relationship between a second-order arena and the chief arena of a political system is not at all unusual. What is new here, is that one second-order political arena is related to nine different first-order arenas. A first analysis of European election results satisfactorily justifies the assumption that European Parliament direct elections should be treated as nine simultaneous national second-order elections.","DOI":"10.1111/j.1475-6765.1980.tb00737.x","ISSN":"1475-6765","language":"en","author":[{"family":"Reif","given":"Karlheinz"},{"family":"Schmitt","given":"Hermann"}],"issued":{"date-parts":[["1980",3,1]]}}}],"schema":"https://github.com/citation-style-language/schema/raw/master/csl-citation.json"} </w:instrText>
      </w:r>
      <w:r w:rsidR="004F3918" w:rsidRPr="00557367">
        <w:fldChar w:fldCharType="separate"/>
      </w:r>
      <w:r w:rsidR="004F3918" w:rsidRPr="00557367">
        <w:t>(Reif and Schmitt, 1980)</w:t>
      </w:r>
      <w:r w:rsidR="004F3918" w:rsidRPr="00557367">
        <w:fldChar w:fldCharType="end"/>
      </w:r>
      <w:r w:rsidR="004F3918" w:rsidRPr="00557367">
        <w:t xml:space="preserve"> </w:t>
      </w:r>
      <w:r w:rsidR="00A064AC" w:rsidRPr="00557367">
        <w:t>suggests</w:t>
      </w:r>
      <w:r w:rsidR="007952FF" w:rsidRPr="00557367">
        <w:t xml:space="preserve"> </w:t>
      </w:r>
      <w:r w:rsidR="00360937" w:rsidRPr="00557367">
        <w:t xml:space="preserve">that </w:t>
      </w:r>
      <w:r w:rsidR="007952FF" w:rsidRPr="00557367">
        <w:t>local elections</w:t>
      </w:r>
      <w:r w:rsidR="00F32402" w:rsidRPr="00557367">
        <w:t>, by having “less at stake”,</w:t>
      </w:r>
      <w:r w:rsidR="007952FF" w:rsidRPr="00557367">
        <w:t xml:space="preserve"> draw a different set of voters</w:t>
      </w:r>
      <w:r w:rsidR="00F32402" w:rsidRPr="00557367">
        <w:t>,</w:t>
      </w:r>
      <w:r w:rsidR="007952FF" w:rsidRPr="00557367">
        <w:t xml:space="preserve"> as </w:t>
      </w:r>
      <w:r w:rsidR="00F32402" w:rsidRPr="00557367">
        <w:t xml:space="preserve">demonstrated </w:t>
      </w:r>
      <w:r w:rsidR="007952FF" w:rsidRPr="00557367">
        <w:t xml:space="preserve">in a study of turnout determinants in </w:t>
      </w:r>
      <w:r w:rsidR="00360937" w:rsidRPr="00557367">
        <w:t xml:space="preserve">municipal, European and national </w:t>
      </w:r>
      <w:r w:rsidR="00F32402" w:rsidRPr="00557367">
        <w:t xml:space="preserve">elections </w:t>
      </w:r>
      <w:r w:rsidR="00360937" w:rsidRPr="00557367">
        <w:t xml:space="preserve">in the Netherlands </w:t>
      </w:r>
      <w:r w:rsidR="007952FF" w:rsidRPr="00557367">
        <w:fldChar w:fldCharType="begin"/>
      </w:r>
      <w:r w:rsidR="007952FF" w:rsidRPr="00557367">
        <w:instrText xml:space="preserve"> ADDIN ZOTERO_ITEM CSL_CITATION {"citationID":"1p00n391ng","properties":{"formattedCitation":"(Lefevere and Van Aelst, 2014)","plainCitation":"(Lefevere and Van Aelst, 2014)"},"citationItems":[{"id":82,"uris":["http://zotero.org/users/109723/items/5682XRDS"],"uri":["http://zotero.org/users/109723/items/5682XRDS"],"itemData":{"id":82,"type":"article-journal","title":"First-order, second-order or third-rate? A comparison of turnout in European, local and national elections in the Netherlands","container-title":"Electoral Studies","page":"159-170","volume":"35","source":"ScienceDirect","abstract":"Second-order elections are characterized by low turnout. According to the second-order theory this is because people feel there is less at stake. This study tests whether the less at stake argument holds at the macro and micro level using panel survey data obtained in three different Dutch elections. Furthermore, it examines whether campaigns' mobilizing potential differs between first- and second-order elections. We find that at the macro level perceived stakes and low turnout go hand in hand and differ strongly between national, local and European elections. At the micro level the impact of perceived stakes on turnout is limited and contingent on the type of election. Also, campaign exposure affects turnout, but the effect is substantially larger in second-order contests.","DOI":"10.1016/j.electstud.2014.06.005","ISSN":"0261-3794","shortTitle":"First-order, second-order or third-rate?","journalAbbreviation":"Electoral Studies","author":[{"family":"Lefevere","given":"Jonas"},{"family":"Van Aelst","given":"Peter"}],"issued":{"date-parts":[["2014",9]]}}}],"schema":"https://github.com/citation-style-language/schema/raw/master/csl-citation.json"} </w:instrText>
      </w:r>
      <w:r w:rsidR="007952FF" w:rsidRPr="00557367">
        <w:fldChar w:fldCharType="separate"/>
      </w:r>
      <w:r w:rsidR="007952FF" w:rsidRPr="00557367">
        <w:t xml:space="preserve">(Lefevere </w:t>
      </w:r>
      <w:r w:rsidR="007952FF" w:rsidRPr="00557367">
        <w:lastRenderedPageBreak/>
        <w:t>and Van Aelst, 2014)</w:t>
      </w:r>
      <w:r w:rsidR="007952FF" w:rsidRPr="00557367">
        <w:fldChar w:fldCharType="end"/>
      </w:r>
      <w:r w:rsidRPr="00557367">
        <w:t xml:space="preserve">. A recent meta-analysis of </w:t>
      </w:r>
      <w:r w:rsidR="00A064AC" w:rsidRPr="00557367">
        <w:t xml:space="preserve">the </w:t>
      </w:r>
      <w:r w:rsidRPr="00557367">
        <w:t xml:space="preserve">literature on turnout at the aggregate level </w:t>
      </w:r>
      <w:r w:rsidR="004F3918" w:rsidRPr="00557367">
        <w:t xml:space="preserve">also </w:t>
      </w:r>
      <w:r w:rsidR="007952FF" w:rsidRPr="00557367">
        <w:t xml:space="preserve">reveals </w:t>
      </w:r>
      <w:r w:rsidRPr="00557367">
        <w:t xml:space="preserve">that rates of voter participation in national and subnational elections are driven by different factors </w:t>
      </w:r>
      <w:r w:rsidRPr="00557367">
        <w:fldChar w:fldCharType="begin"/>
      </w:r>
      <w:r w:rsidRPr="00557367">
        <w:instrText xml:space="preserve"> ADDIN ZOTERO_ITEM CSL_CITATION {"citationID":"1qrk74m7ii","properties":{"formattedCitation":"(Cancela and Geys, 2016)","plainCitation":"(Cancela and Geys, 2016)"},"citationItems":[{"id":2665,"uris":["http://zotero.org/users/109723/items/UEHRD4NC"],"uri":["http://zotero.org/users/109723/items/UEHRD4NC"],"itemData":{"id":2665,"type":"article-journal","title":"Explaining voter turnout: A meta-analysis of national and subnational elections","container-title":"Electoral Studies","page":"264-275","volume":"42","source":"ScienceDirect","abstract":"Research about voter turnout has expanded rapidly in recent years. This article takes stock of this development by extending the meta-analysis of Geys (2006) in two main ways. First, we add 102 studies published between 2002 and 2015 to the initial sample of 83 studies. Overall, we document only minor changes to the original inferences. Second, since different processes might conceivably play at different levels of government, we exploit the larger sample to separately analyse the determinants of voter turnout in national versus subnational elections. We find that campaign expenditures, election closeness and registration requirements have more explanatory power in national elections, whereas population size and composition, concurrent elections, and the electoral system play a more important role for explaining turnout in subnational elections.","DOI":"10.1016/j.electstud.2016.03.005","ISSN":"0261-3794","shortTitle":"Explaining voter turnout","journalAbbreviation":"Electoral Studies","author":[{"family":"Cancela","given":"João"},{"family":"Geys","given":"Benny"}],"issued":{"date-parts":[["2016",6]]}}}],"schema":"https://github.com/citation-style-language/schema/raw/master/csl-citation.json"} </w:instrText>
      </w:r>
      <w:r w:rsidRPr="00557367">
        <w:fldChar w:fldCharType="separate"/>
      </w:r>
      <w:r w:rsidRPr="00557367">
        <w:t>(Cancela and Geys, 2016)</w:t>
      </w:r>
      <w:r w:rsidRPr="00557367">
        <w:fldChar w:fldCharType="end"/>
      </w:r>
      <w:r w:rsidRPr="00557367">
        <w:t xml:space="preserve">. </w:t>
      </w:r>
    </w:p>
    <w:p w14:paraId="3C2EF827" w14:textId="6E3622F8" w:rsidR="00585A6C" w:rsidRPr="00557367" w:rsidRDefault="00585A6C" w:rsidP="00813421">
      <w:r w:rsidRPr="00557367">
        <w:t xml:space="preserve">In sum, </w:t>
      </w:r>
      <w:r w:rsidR="004F3918" w:rsidRPr="00557367">
        <w:t xml:space="preserve">in recent years </w:t>
      </w:r>
      <w:r w:rsidR="00C40958" w:rsidRPr="00557367">
        <w:t xml:space="preserve">research </w:t>
      </w:r>
      <w:r w:rsidR="004F3918" w:rsidRPr="00557367">
        <w:t xml:space="preserve">about </w:t>
      </w:r>
      <w:r w:rsidR="00931633" w:rsidRPr="00557367">
        <w:t xml:space="preserve">various dimensions of political engagement </w:t>
      </w:r>
      <w:r w:rsidRPr="00557367">
        <w:t xml:space="preserve">has shown that </w:t>
      </w:r>
      <w:r w:rsidR="00931633" w:rsidRPr="00557367">
        <w:t xml:space="preserve">findings </w:t>
      </w:r>
      <w:r w:rsidR="00A064AC" w:rsidRPr="00557367">
        <w:t xml:space="preserve">about generalist involvement </w:t>
      </w:r>
      <w:r w:rsidRPr="00557367">
        <w:t xml:space="preserve">may </w:t>
      </w:r>
      <w:r w:rsidR="003F732F" w:rsidRPr="00557367">
        <w:t xml:space="preserve">be refined </w:t>
      </w:r>
      <w:r w:rsidRPr="00557367">
        <w:t xml:space="preserve">once </w:t>
      </w:r>
      <w:r w:rsidR="00A064AC" w:rsidRPr="00557367">
        <w:t>we decompose it into distinct territorial dimensions</w:t>
      </w:r>
      <w:r w:rsidRPr="00557367">
        <w:t xml:space="preserve">. </w:t>
      </w:r>
      <w:r w:rsidR="004F3918" w:rsidRPr="00557367">
        <w:t xml:space="preserve">While </w:t>
      </w:r>
      <w:r w:rsidR="003F732F" w:rsidRPr="00557367">
        <w:t xml:space="preserve">offering fruitful insights, </w:t>
      </w:r>
      <w:r w:rsidR="00931633" w:rsidRPr="00557367">
        <w:t xml:space="preserve">this </w:t>
      </w:r>
      <w:r w:rsidR="00360937" w:rsidRPr="00557367">
        <w:t xml:space="preserve">ramification </w:t>
      </w:r>
      <w:r w:rsidR="003F732F" w:rsidRPr="00557367">
        <w:t xml:space="preserve">of the </w:t>
      </w:r>
      <w:r w:rsidR="004F3918" w:rsidRPr="00557367">
        <w:t xml:space="preserve">literature </w:t>
      </w:r>
      <w:r w:rsidR="003F732F" w:rsidRPr="00557367">
        <w:t xml:space="preserve">is still </w:t>
      </w:r>
      <w:r w:rsidR="00384B60" w:rsidRPr="00557367">
        <w:t>lack</w:t>
      </w:r>
      <w:r w:rsidR="003F732F" w:rsidRPr="00557367">
        <w:t xml:space="preserve">ing </w:t>
      </w:r>
      <w:r w:rsidRPr="00557367">
        <w:t xml:space="preserve">the incorporation of </w:t>
      </w:r>
      <w:r w:rsidR="00384B60" w:rsidRPr="00557367">
        <w:t xml:space="preserve">macro-level variables </w:t>
      </w:r>
      <w:r w:rsidR="003F732F" w:rsidRPr="00557367">
        <w:t>as those already included in the study of generalist political discussion</w:t>
      </w:r>
      <w:r w:rsidR="004F3918" w:rsidRPr="00557367">
        <w:t xml:space="preserve">. The following section bridges </w:t>
      </w:r>
      <w:r w:rsidR="003F732F" w:rsidRPr="00557367">
        <w:t xml:space="preserve">the </w:t>
      </w:r>
      <w:r w:rsidR="004F3918" w:rsidRPr="00557367">
        <w:t xml:space="preserve">two </w:t>
      </w:r>
      <w:r w:rsidR="00360937" w:rsidRPr="00557367">
        <w:t xml:space="preserve">branches </w:t>
      </w:r>
      <w:r w:rsidR="004F3918" w:rsidRPr="00557367">
        <w:t xml:space="preserve">of the literature </w:t>
      </w:r>
      <w:r w:rsidR="00931633" w:rsidRPr="00557367">
        <w:t xml:space="preserve">reviewed </w:t>
      </w:r>
      <w:r w:rsidR="003F732F" w:rsidRPr="00557367">
        <w:t xml:space="preserve">above </w:t>
      </w:r>
      <w:r w:rsidR="004F3918" w:rsidRPr="00557367">
        <w:t xml:space="preserve">and </w:t>
      </w:r>
      <w:r w:rsidR="006F11DC" w:rsidRPr="00557367">
        <w:t xml:space="preserve">presents </w:t>
      </w:r>
      <w:r w:rsidR="003F732F" w:rsidRPr="00557367">
        <w:t xml:space="preserve">our </w:t>
      </w:r>
      <w:r w:rsidR="006F11DC" w:rsidRPr="00557367">
        <w:t>research hypotheses.</w:t>
      </w:r>
    </w:p>
    <w:p w14:paraId="3622F443" w14:textId="77777777" w:rsidR="00421BA9" w:rsidRPr="00557367" w:rsidRDefault="00421BA9" w:rsidP="00813421">
      <w:pPr>
        <w:ind w:firstLine="0"/>
      </w:pPr>
    </w:p>
    <w:p w14:paraId="08E4440A" w14:textId="77777777" w:rsidR="00887471" w:rsidRPr="00557367" w:rsidRDefault="00692B18" w:rsidP="00813421">
      <w:pPr>
        <w:pStyle w:val="ListParagraph"/>
        <w:numPr>
          <w:ilvl w:val="0"/>
          <w:numId w:val="10"/>
        </w:numPr>
      </w:pPr>
      <w:r w:rsidRPr="00557367">
        <w:rPr>
          <w:b/>
        </w:rPr>
        <w:t>H</w:t>
      </w:r>
      <w:r w:rsidR="00670548" w:rsidRPr="00557367">
        <w:rPr>
          <w:b/>
        </w:rPr>
        <w:t xml:space="preserve">ypotheses </w:t>
      </w:r>
    </w:p>
    <w:p w14:paraId="7F5E24F3" w14:textId="1B758626" w:rsidR="0070762F" w:rsidRPr="00557367" w:rsidRDefault="00CB67E9" w:rsidP="00813421">
      <w:r w:rsidRPr="00557367">
        <w:t>T</w:t>
      </w:r>
      <w:r w:rsidR="005979E5" w:rsidRPr="00557367">
        <w:t>he insights exposed in the previous section</w:t>
      </w:r>
      <w:r w:rsidRPr="00557367">
        <w:t xml:space="preserve"> </w:t>
      </w:r>
      <w:r w:rsidR="002B40AE" w:rsidRPr="00557367">
        <w:t xml:space="preserve">allow us to develop </w:t>
      </w:r>
      <w:r w:rsidRPr="00557367">
        <w:t xml:space="preserve">hypotheses regarding </w:t>
      </w:r>
      <w:r w:rsidR="00762907" w:rsidRPr="00557367">
        <w:t xml:space="preserve">the </w:t>
      </w:r>
      <w:r w:rsidR="004F69AC" w:rsidRPr="00557367">
        <w:t xml:space="preserve">drivers </w:t>
      </w:r>
      <w:r w:rsidR="005979E5" w:rsidRPr="00557367">
        <w:t xml:space="preserve">of political </w:t>
      </w:r>
      <w:r w:rsidR="004F69AC" w:rsidRPr="00557367">
        <w:t xml:space="preserve">discussion about </w:t>
      </w:r>
      <w:r w:rsidR="005301E5" w:rsidRPr="00557367">
        <w:t xml:space="preserve">different </w:t>
      </w:r>
      <w:r w:rsidR="003F732F" w:rsidRPr="00557367">
        <w:t>jurisdictional scales</w:t>
      </w:r>
      <w:r w:rsidRPr="00557367">
        <w:t xml:space="preserve">. In </w:t>
      </w:r>
      <w:r w:rsidR="002B40AE" w:rsidRPr="00557367">
        <w:t xml:space="preserve">the following paragraphs </w:t>
      </w:r>
      <w:r w:rsidRPr="00557367">
        <w:t>we</w:t>
      </w:r>
      <w:r w:rsidR="005301E5" w:rsidRPr="00557367">
        <w:t xml:space="preserve"> </w:t>
      </w:r>
      <w:r w:rsidRPr="00557367">
        <w:t xml:space="preserve">list our research </w:t>
      </w:r>
      <w:r w:rsidR="005301E5" w:rsidRPr="00557367">
        <w:t xml:space="preserve">hypotheses formulated </w:t>
      </w:r>
      <w:r w:rsidR="003928CF" w:rsidRPr="00557367">
        <w:t xml:space="preserve">at </w:t>
      </w:r>
      <w:r w:rsidR="005301E5" w:rsidRPr="00557367">
        <w:t>the individual and country level</w:t>
      </w:r>
      <w:r w:rsidR="005979E5" w:rsidRPr="00557367">
        <w:t>.</w:t>
      </w:r>
      <w:r w:rsidR="002925B9" w:rsidRPr="00557367">
        <w:t xml:space="preserve"> </w:t>
      </w:r>
    </w:p>
    <w:p w14:paraId="2D97BE14" w14:textId="0349FAD7" w:rsidR="0070762F" w:rsidRPr="00557367" w:rsidRDefault="00CB67E9" w:rsidP="00813421">
      <w:r w:rsidRPr="00557367">
        <w:t xml:space="preserve">Starting with individual-level </w:t>
      </w:r>
      <w:r w:rsidR="004F69AC" w:rsidRPr="00557367">
        <w:t>factors</w:t>
      </w:r>
      <w:r w:rsidRPr="00557367">
        <w:t>, o</w:t>
      </w:r>
      <w:r w:rsidR="0070762F" w:rsidRPr="00557367">
        <w:t xml:space="preserve">ur first </w:t>
      </w:r>
      <w:r w:rsidR="004F69AC" w:rsidRPr="00557367">
        <w:t xml:space="preserve">hypothesis concerns </w:t>
      </w:r>
      <w:r w:rsidRPr="00557367">
        <w:t xml:space="preserve">the </w:t>
      </w:r>
      <w:r w:rsidR="004F69AC" w:rsidRPr="00557367">
        <w:t xml:space="preserve">influence </w:t>
      </w:r>
      <w:r w:rsidRPr="00557367">
        <w:t xml:space="preserve">of </w:t>
      </w:r>
      <w:r w:rsidR="003F732F" w:rsidRPr="00557367">
        <w:t xml:space="preserve">the </w:t>
      </w:r>
      <w:r w:rsidR="00B83748" w:rsidRPr="00557367">
        <w:t xml:space="preserve">type of </w:t>
      </w:r>
      <w:r w:rsidRPr="00557367">
        <w:t xml:space="preserve">community </w:t>
      </w:r>
      <w:r w:rsidR="00EF2A89" w:rsidRPr="00557367">
        <w:t>inhabit</w:t>
      </w:r>
      <w:r w:rsidR="00B83748" w:rsidRPr="00557367">
        <w:t xml:space="preserve">ed by individuals </w:t>
      </w:r>
      <w:r w:rsidRPr="00557367">
        <w:t xml:space="preserve">as </w:t>
      </w:r>
      <w:r w:rsidR="00B83748" w:rsidRPr="00557367">
        <w:t xml:space="preserve">a </w:t>
      </w:r>
      <w:r w:rsidRPr="00557367">
        <w:t xml:space="preserve">factor </w:t>
      </w:r>
      <w:r w:rsidR="00B83748" w:rsidRPr="00557367">
        <w:t xml:space="preserve">affecting </w:t>
      </w:r>
      <w:r w:rsidR="00EF2A89" w:rsidRPr="00557367">
        <w:t xml:space="preserve">the </w:t>
      </w:r>
      <w:r w:rsidR="00650C14" w:rsidRPr="00557367">
        <w:t xml:space="preserve">scope </w:t>
      </w:r>
      <w:r w:rsidR="00EF2A89" w:rsidRPr="00557367">
        <w:t xml:space="preserve">of </w:t>
      </w:r>
      <w:r w:rsidR="003F732F" w:rsidRPr="00557367">
        <w:t>political discussion</w:t>
      </w:r>
      <w:r w:rsidR="00EF2A89" w:rsidRPr="00557367">
        <w:t xml:space="preserve"> </w:t>
      </w:r>
      <w:r w:rsidR="00650C14" w:rsidRPr="00557367">
        <w:t xml:space="preserve">they </w:t>
      </w:r>
      <w:r w:rsidR="00EF2A89" w:rsidRPr="00557367">
        <w:t>engage with</w:t>
      </w:r>
      <w:r w:rsidR="0070762F" w:rsidRPr="00557367">
        <w:t xml:space="preserve">. </w:t>
      </w:r>
      <w:r w:rsidR="002925B9" w:rsidRPr="00557367">
        <w:t xml:space="preserve">In </w:t>
      </w:r>
      <w:r w:rsidRPr="00557367">
        <w:t xml:space="preserve">a </w:t>
      </w:r>
      <w:r w:rsidR="00EF2A89" w:rsidRPr="00557367">
        <w:t xml:space="preserve">classic </w:t>
      </w:r>
      <w:r w:rsidR="002925B9" w:rsidRPr="00557367">
        <w:t xml:space="preserve">study of local politics in France, </w:t>
      </w:r>
      <w:proofErr w:type="spellStart"/>
      <w:r w:rsidR="002925B9" w:rsidRPr="00557367">
        <w:t>Tarrow</w:t>
      </w:r>
      <w:proofErr w:type="spellEnd"/>
      <w:r w:rsidR="002925B9" w:rsidRPr="00557367">
        <w:t xml:space="preserve"> </w:t>
      </w:r>
      <w:r w:rsidR="002925B9" w:rsidRPr="00557367">
        <w:fldChar w:fldCharType="begin"/>
      </w:r>
      <w:r w:rsidR="002925B9" w:rsidRPr="00557367">
        <w:instrText xml:space="preserve"> ADDIN ZOTERO_ITEM CSL_CITATION {"citationID":"ogjnWZ8b","properties":{"formattedCitation":"(1971, p. 356)","plainCitation":"(1971, p. 356)"},"citationItems":[{"id":365,"uris":["http://zotero.org/users/109723/items/E5UWPFSI"],"uri":["http://zotero.org/users/109723/items/E5UWPFSI"],"itemData":{"id":365,"type":"article-journal","title":"The Urban-Rural Cleavage in Political Involvement: The Case of France","container-title":"The American Political Science Review","page":"341-357","volume":"65","issue":"2","source":"JSTOR","DOI":"10.2307/1954453","ISSN":"0003-0554","note":"ArticleType: research-article / Full publication date: Jun., 1971 / Copyright © 1971 American Political Science Association","shortTitle":"The Urban-Rural Cleavage in Political Involvement","author":[{"family":"Tarrow","given":"Sidney"}],"issued":{"date-parts":[["1971",6,1]]}},"locator":"356","suppress-author":true}],"schema":"https://github.com/citation-style-language/schema/raw/master/csl-citation.json"} </w:instrText>
      </w:r>
      <w:r w:rsidR="002925B9" w:rsidRPr="00557367">
        <w:fldChar w:fldCharType="separate"/>
      </w:r>
      <w:r w:rsidR="002925B9" w:rsidRPr="00557367">
        <w:t>(1971, p. 356)</w:t>
      </w:r>
      <w:r w:rsidR="002925B9" w:rsidRPr="00557367">
        <w:fldChar w:fldCharType="end"/>
      </w:r>
      <w:r w:rsidR="002925B9" w:rsidRPr="00557367">
        <w:t xml:space="preserve"> highlights that </w:t>
      </w:r>
      <w:r w:rsidR="00650C14" w:rsidRPr="00557367">
        <w:t xml:space="preserve">some </w:t>
      </w:r>
      <w:r w:rsidR="002925B9" w:rsidRPr="00557367">
        <w:t xml:space="preserve">citizens from </w:t>
      </w:r>
      <w:r w:rsidR="00650C14" w:rsidRPr="00557367">
        <w:t xml:space="preserve">rural </w:t>
      </w:r>
      <w:r w:rsidR="002925B9" w:rsidRPr="00557367">
        <w:t xml:space="preserve">communities </w:t>
      </w:r>
      <w:r w:rsidRPr="00557367">
        <w:t xml:space="preserve">would </w:t>
      </w:r>
      <w:r w:rsidR="002925B9" w:rsidRPr="00557367">
        <w:t xml:space="preserve">report an ostensive detachment towards national </w:t>
      </w:r>
      <w:r w:rsidR="004F69AC" w:rsidRPr="00557367">
        <w:t>politics and parties</w:t>
      </w:r>
      <w:r w:rsidR="002925B9" w:rsidRPr="00557367">
        <w:t xml:space="preserve">, while remaining actively engaged with local </w:t>
      </w:r>
      <w:r w:rsidR="004F69AC" w:rsidRPr="00557367">
        <w:t xml:space="preserve">political </w:t>
      </w:r>
      <w:r w:rsidR="002925B9" w:rsidRPr="00557367">
        <w:t>affairs. Moreover, w</w:t>
      </w:r>
      <w:r w:rsidR="0070762F" w:rsidRPr="00557367">
        <w:t xml:space="preserve">e know that inhabitants from cities </w:t>
      </w:r>
      <w:r w:rsidR="0070762F" w:rsidRPr="00557367">
        <w:fldChar w:fldCharType="begin"/>
      </w:r>
      <w:r w:rsidR="00E40197" w:rsidRPr="00557367">
        <w:instrText xml:space="preserve"> ADDIN ZOTERO_ITEM CSL_CITATION {"citationID":"q4g56Pxg","properties":{"formattedCitation":"(Rapeli, 2014)","plainCitation":"(Rapeli, 2014)"},"citationItems":[{"id":558,"uris":["http://zotero.org/users/109723/items/K2GF27ND"],"uri":["http://zotero.org/users/109723/items/K2GF27ND"],"itemData":{"id":558,"type":"article-journal","title":"Comparing Local, National and EU Knowledge: The Ignorant Public Reassessed","container-title":"Scandinavian Political Studies","page":"428-446","volume":"37","issue":"4","source":"Wiley Online Library","abstract":"Empirical research has repeatedly confirmed the political ignorance of ordinary citizens, but democracy prevails. This article offers a new perspective into this paradox by arguing that typical political knowledge indicators are inadequate because they only measure national-level knowledge. The study makes two contributions. First, it compares national, local and European Union political knowledge. Second, it does so with a nationally representative dataset, which comes from a survey from Finland (n = 1,020) devoted solely to political knowledge. Two questions are posed: Are the sociodemographic determinants of knowledge the same on all levels of politics? And is public ignorance equally widespread on all levels? Challenging some established findings, the study shows that people in rural communities know more about local politics than urban counterparts, that women know more about local politics than men and that young people are equally knowledgeable about the EU as older people. The results thus indicate that people are to varying extents knowledgeable about varying aspects of politics.","DOI":"10.1111/1467-9477.12032","ISSN":"1467-9477","shortTitle":"Comparing Local, National and EU Knowledge","journalAbbreviation":"Scandinavian Political Studies","language":"en","author":[{"family":"Rapeli","given":"Lauri"}],"issued":{"date-parts":[["2014"]]}}}],"schema":"https://github.com/citation-style-language/schema/raw/master/csl-citation.json"} </w:instrText>
      </w:r>
      <w:r w:rsidR="0070762F" w:rsidRPr="00557367">
        <w:fldChar w:fldCharType="separate"/>
      </w:r>
      <w:r w:rsidR="0070762F" w:rsidRPr="00557367">
        <w:t>(Rapeli, 2014)</w:t>
      </w:r>
      <w:r w:rsidR="0070762F" w:rsidRPr="00557367">
        <w:fldChar w:fldCharType="end"/>
      </w:r>
      <w:r w:rsidR="0070762F" w:rsidRPr="00557367">
        <w:t xml:space="preserve"> show higher levels of political knowledge regarding national affairs</w:t>
      </w:r>
      <w:r w:rsidR="002925B9" w:rsidRPr="00557367">
        <w:t>, while individuals from rural areas tend to perform better when asked about local matters</w:t>
      </w:r>
      <w:r w:rsidR="0070762F" w:rsidRPr="00557367">
        <w:t xml:space="preserve">. </w:t>
      </w:r>
      <w:r w:rsidR="002925B9" w:rsidRPr="00557367">
        <w:t xml:space="preserve">Since </w:t>
      </w:r>
      <w:r w:rsidRPr="00557367">
        <w:t xml:space="preserve">levels of </w:t>
      </w:r>
      <w:r w:rsidR="002B40AE" w:rsidRPr="00557367">
        <w:t>(</w:t>
      </w:r>
      <w:r w:rsidRPr="00557367">
        <w:t>generalist</w:t>
      </w:r>
      <w:r w:rsidR="002B40AE" w:rsidRPr="00557367">
        <w:t>)</w:t>
      </w:r>
      <w:r w:rsidRPr="00557367">
        <w:t xml:space="preserve"> </w:t>
      </w:r>
      <w:r w:rsidR="002925B9" w:rsidRPr="00557367">
        <w:t xml:space="preserve">political sophistication and </w:t>
      </w:r>
      <w:r w:rsidRPr="00557367">
        <w:t>discussion</w:t>
      </w:r>
      <w:r w:rsidR="002925B9" w:rsidRPr="00557367">
        <w:t xml:space="preserve"> tend to be associated, we</w:t>
      </w:r>
      <w:r w:rsidRPr="00557367">
        <w:t xml:space="preserve"> can expect that those who know more about one level or politics will also be more likely to talk about it. Thus, we </w:t>
      </w:r>
      <w:r w:rsidR="00EF2A89" w:rsidRPr="00557367">
        <w:t>hypothesise</w:t>
      </w:r>
      <w:r w:rsidRPr="00557367">
        <w:t xml:space="preserve"> that:</w:t>
      </w:r>
    </w:p>
    <w:p w14:paraId="6FD6C027" w14:textId="77777777" w:rsidR="0070762F" w:rsidRPr="00557367" w:rsidRDefault="0070762F" w:rsidP="00813421"/>
    <w:p w14:paraId="1C9691A1" w14:textId="404112B2" w:rsidR="0070762F" w:rsidRPr="00557367" w:rsidRDefault="0070762F" w:rsidP="00813421">
      <w:pPr>
        <w:rPr>
          <w:i/>
        </w:rPr>
      </w:pPr>
      <w:r w:rsidRPr="00557367">
        <w:rPr>
          <w:i/>
        </w:rPr>
        <w:t xml:space="preserve">H1: </w:t>
      </w:r>
      <w:r w:rsidR="00CB67E9" w:rsidRPr="00557367">
        <w:rPr>
          <w:i/>
        </w:rPr>
        <w:t xml:space="preserve">Individuals </w:t>
      </w:r>
      <w:r w:rsidRPr="00557367">
        <w:rPr>
          <w:i/>
        </w:rPr>
        <w:t>from rural areas will be more engaged in discussions about local politics, while city residents will be more engaged in discussions about national politics.</w:t>
      </w:r>
    </w:p>
    <w:p w14:paraId="689FEBCB" w14:textId="575D91E6" w:rsidR="0070762F" w:rsidRPr="00557367" w:rsidRDefault="0070762F" w:rsidP="00813421">
      <w:pPr>
        <w:rPr>
          <w:i/>
        </w:rPr>
      </w:pPr>
      <w:r w:rsidRPr="00557367">
        <w:rPr>
          <w:i/>
        </w:rPr>
        <w:t xml:space="preserve"> </w:t>
      </w:r>
    </w:p>
    <w:p w14:paraId="4B666269" w14:textId="151F7DCE" w:rsidR="002925B9" w:rsidRPr="00557367" w:rsidRDefault="004F69AC" w:rsidP="00813421">
      <w:r w:rsidRPr="00557367">
        <w:t xml:space="preserve">Our second hypothesis regards the impact of education and socioeconomic status. </w:t>
      </w:r>
      <w:r w:rsidR="007D7328" w:rsidRPr="00557367">
        <w:t xml:space="preserve">Studies about political sophistication </w:t>
      </w:r>
      <w:r w:rsidR="00833079" w:rsidRPr="00557367">
        <w:fldChar w:fldCharType="begin"/>
      </w:r>
      <w:r w:rsidR="00E40197" w:rsidRPr="00557367">
        <w:instrText xml:space="preserve"> ADDIN ZOTERO_ITEM CSL_CITATION {"citationID":"S42FZPYG","properties":{"formattedCitation":"(Shaker, 2012)","plainCitation":"(Shaker, 2012)"},"citationItems":[{"id":910,"uris":["http://zotero.org/users/109723/items/ZP7PFE3B"],"uri":["http://zotero.org/users/109723/items/ZP7PFE3B"],"itemData":{"id":910,"type":"article-journal","title":"Local Political Knowledge and Assessments of Citizen Competence","container-title":"Public Opinion Quarterly","page":"525-537","volume":"76","issue":"3","source":"poq.oxfordjournals.org","abstract":"This article contrasts the national and local political knowledge of a random sample of 993 Philadelphians with the aim of enhancing the scholarly understanding of citizen competence. Empirical study of citizen competence extends back more than fifty years, but the survey data that have been brought to bear upon the topic are almost exclusively focused on national-level politics. Consequently, sweeping conclusions about the competence of the American public rest upon a narrow foundation. The comparisons in this article depict a slew of differences in the distribution of knowledge across national and local politics, many of which challenge established notions of who is politically knowledgeable. This, in turn, has implications for which members of society are seen as politically competent and how competent the public as a whole is thought to be.","DOI":"10.1093/poq/nfs018","ISSN":"0033-362X, 1537-5331","journalAbbreviation":"Public Opin Q","language":"en","author":[{"family":"Shaker","given":"Lee"}],"issued":{"date-parts":[["2012",9,21]]}}}],"schema":"https://github.com/citation-style-language/schema/raw/master/csl-citation.json"} </w:instrText>
      </w:r>
      <w:r w:rsidR="00833079" w:rsidRPr="00557367">
        <w:fldChar w:fldCharType="separate"/>
      </w:r>
      <w:r w:rsidR="00F10CBD" w:rsidRPr="00557367">
        <w:t>(Shaker, 2012)</w:t>
      </w:r>
      <w:r w:rsidR="00833079" w:rsidRPr="00557367">
        <w:fldChar w:fldCharType="end"/>
      </w:r>
      <w:r w:rsidR="005417D7" w:rsidRPr="00557367">
        <w:t xml:space="preserve"> </w:t>
      </w:r>
      <w:r w:rsidR="00497F25" w:rsidRPr="00557367">
        <w:t>reveal</w:t>
      </w:r>
      <w:r w:rsidR="007D7328" w:rsidRPr="00557367">
        <w:t xml:space="preserve"> that the performance gap between lowly and highly educated </w:t>
      </w:r>
      <w:r w:rsidR="00846FE8" w:rsidRPr="00557367">
        <w:t xml:space="preserve">people </w:t>
      </w:r>
      <w:r w:rsidR="00CB67E9" w:rsidRPr="00557367">
        <w:t xml:space="preserve">is diminished </w:t>
      </w:r>
      <w:r w:rsidR="007D7328" w:rsidRPr="00557367">
        <w:t>if knowledge about local politics is</w:t>
      </w:r>
      <w:r w:rsidR="00CB67E9" w:rsidRPr="00557367">
        <w:t xml:space="preserve"> taken into account</w:t>
      </w:r>
      <w:r w:rsidR="007D7328" w:rsidRPr="00557367">
        <w:t xml:space="preserve">. We hypothesise that this relationship can also be found in political </w:t>
      </w:r>
      <w:r w:rsidR="007D7328" w:rsidRPr="00557367">
        <w:lastRenderedPageBreak/>
        <w:t>discussion</w:t>
      </w:r>
      <w:r w:rsidRPr="00557367">
        <w:t xml:space="preserve">, as the local level of politics may present </w:t>
      </w:r>
      <w:r w:rsidR="00F173BA" w:rsidRPr="00557367">
        <w:t xml:space="preserve">itself as having direct relevance to the lives </w:t>
      </w:r>
      <w:r w:rsidR="002B40AE" w:rsidRPr="00557367">
        <w:t>of less educated individuals</w:t>
      </w:r>
      <w:r w:rsidR="001F7983" w:rsidRPr="00557367">
        <w:t>,</w:t>
      </w:r>
      <w:r w:rsidR="002B40AE" w:rsidRPr="00557367">
        <w:t xml:space="preserve"> while </w:t>
      </w:r>
      <w:r w:rsidR="00F173BA" w:rsidRPr="00557367">
        <w:t>present</w:t>
      </w:r>
      <w:r w:rsidR="002B40AE" w:rsidRPr="00557367">
        <w:t>ing</w:t>
      </w:r>
      <w:r w:rsidR="00F173BA" w:rsidRPr="00557367">
        <w:t xml:space="preserve"> </w:t>
      </w:r>
      <w:r w:rsidR="003F732F" w:rsidRPr="00557367">
        <w:t xml:space="preserve">comparatively </w:t>
      </w:r>
      <w:r w:rsidR="002B40AE" w:rsidRPr="00557367">
        <w:t xml:space="preserve">lower </w:t>
      </w:r>
      <w:r w:rsidR="00F173BA" w:rsidRPr="00557367">
        <w:t>hurdles</w:t>
      </w:r>
      <w:r w:rsidR="001F7983" w:rsidRPr="00557367">
        <w:t xml:space="preserve"> for discussing it</w:t>
      </w:r>
      <w:r w:rsidRPr="00557367">
        <w:t xml:space="preserve">. </w:t>
      </w:r>
      <w:r w:rsidR="00CB67E9" w:rsidRPr="00557367">
        <w:t xml:space="preserve">Conversely, those in </w:t>
      </w:r>
      <w:r w:rsidR="00F173BA" w:rsidRPr="00557367">
        <w:t xml:space="preserve">the </w:t>
      </w:r>
      <w:r w:rsidR="00CB67E9" w:rsidRPr="00557367">
        <w:t>higher end of society are expected to</w:t>
      </w:r>
      <w:r w:rsidR="00F173BA" w:rsidRPr="00557367">
        <w:t xml:space="preserve"> </w:t>
      </w:r>
      <w:r w:rsidR="00EF2A89" w:rsidRPr="00557367">
        <w:t xml:space="preserve">consume </w:t>
      </w:r>
      <w:r w:rsidR="00F173BA" w:rsidRPr="00557367">
        <w:t xml:space="preserve">more information about </w:t>
      </w:r>
      <w:r w:rsidR="002B40AE" w:rsidRPr="00557367">
        <w:t xml:space="preserve">national </w:t>
      </w:r>
      <w:r w:rsidR="00F173BA" w:rsidRPr="00557367">
        <w:t>political issues</w:t>
      </w:r>
      <w:r w:rsidR="002B40AE" w:rsidRPr="00557367">
        <w:t xml:space="preserve"> </w:t>
      </w:r>
      <w:r w:rsidR="00EF2A89" w:rsidRPr="00557367">
        <w:fldChar w:fldCharType="begin"/>
      </w:r>
      <w:r w:rsidR="00EF2A89" w:rsidRPr="00557367">
        <w:instrText xml:space="preserve"> ADDIN ZOTERO_ITEM CSL_CITATION {"citationID":"12166nvmfo","properties":{"formattedCitation":"(Verba et al., 1995)","plainCitation":"(Verba et al., 1995)"},"citationItems":[{"id":162,"uris":["http://zotero.org/users/109723/items/7R4DBVMR"],"uri":["http://zotero.org/users/109723/items/7R4DBVMR"],"itemData":{"id":162,"type":"book","title":"Voice and Equality: Civic Voluntarism in American Politics","publisher":"Harvard University Press","publisher-place":"Cambridge","number-of-pages":"640","source":"Library of Congress Catalog","event-place":"Cambridge","ISBN":"0-674-94292-2","call-number":"JK1764 .V475 1995","shortTitle":"Voice and Equality","author":[{"family":"Verba","given":"Sidney"},{"family":"Schlozman","given":"Kay Lehman"},{"family":"Brady","given":"Henry E"}],"issued":{"date-parts":[["1995"]]}}}],"schema":"https://github.com/citation-style-language/schema/raw/master/csl-citation.json"} </w:instrText>
      </w:r>
      <w:r w:rsidR="00EF2A89" w:rsidRPr="00557367">
        <w:fldChar w:fldCharType="separate"/>
      </w:r>
      <w:r w:rsidR="00EF2A89" w:rsidRPr="00557367">
        <w:t>(Verba et al., 1995)</w:t>
      </w:r>
      <w:r w:rsidR="00EF2A89" w:rsidRPr="00557367">
        <w:fldChar w:fldCharType="end"/>
      </w:r>
      <w:r w:rsidR="00EF2A89" w:rsidRPr="00557367">
        <w:t xml:space="preserve"> </w:t>
      </w:r>
      <w:r w:rsidR="002B40AE" w:rsidRPr="00557367">
        <w:t xml:space="preserve">and translate </w:t>
      </w:r>
      <w:r w:rsidR="00EF2A89" w:rsidRPr="00557367">
        <w:t xml:space="preserve">such exposure </w:t>
      </w:r>
      <w:r w:rsidR="002B40AE" w:rsidRPr="00557367">
        <w:t xml:space="preserve">into </w:t>
      </w:r>
      <w:r w:rsidR="003F732F" w:rsidRPr="00557367">
        <w:t xml:space="preserve">more frequent </w:t>
      </w:r>
      <w:r w:rsidR="002B40AE" w:rsidRPr="00557367">
        <w:t>discussions</w:t>
      </w:r>
      <w:r w:rsidR="003F732F" w:rsidRPr="00557367">
        <w:t xml:space="preserve"> about it</w:t>
      </w:r>
      <w:r w:rsidR="00CB67E9" w:rsidRPr="00557367">
        <w:t xml:space="preserve">. </w:t>
      </w:r>
      <w:proofErr w:type="gramStart"/>
      <w:r w:rsidR="00CB67E9" w:rsidRPr="00557367">
        <w:t>Therefore</w:t>
      </w:r>
      <w:proofErr w:type="gramEnd"/>
      <w:r w:rsidR="00CB67E9" w:rsidRPr="00557367">
        <w:t xml:space="preserve"> we expect that:</w:t>
      </w:r>
    </w:p>
    <w:p w14:paraId="7E501E40" w14:textId="77777777" w:rsidR="007D7328" w:rsidRPr="00557367" w:rsidRDefault="007D7328" w:rsidP="00813421"/>
    <w:p w14:paraId="2DB7C8F4" w14:textId="3CDC8972" w:rsidR="007D7328" w:rsidRPr="00557367" w:rsidRDefault="001F7983" w:rsidP="00813421">
      <w:pPr>
        <w:rPr>
          <w:i/>
        </w:rPr>
      </w:pPr>
      <w:r w:rsidRPr="00557367">
        <w:rPr>
          <w:i/>
        </w:rPr>
        <w:t>H2</w:t>
      </w:r>
      <w:r w:rsidR="007D7328" w:rsidRPr="00557367">
        <w:rPr>
          <w:i/>
        </w:rPr>
        <w:t>: Respondents with higher levels of education and socioeconomic status will be more engaged in discussions about national politics</w:t>
      </w:r>
      <w:r w:rsidR="00EF2A89" w:rsidRPr="00557367">
        <w:rPr>
          <w:i/>
        </w:rPr>
        <w:t>, while r</w:t>
      </w:r>
      <w:r w:rsidR="007D7328" w:rsidRPr="00557367">
        <w:rPr>
          <w:i/>
        </w:rPr>
        <w:t>espondents with lower levels of education and socioeconomic status will be more engaged in discussions about local politics</w:t>
      </w:r>
    </w:p>
    <w:p w14:paraId="6AC57E20" w14:textId="77777777" w:rsidR="007D7328" w:rsidRPr="00557367" w:rsidRDefault="007D7328" w:rsidP="00813421">
      <w:pPr>
        <w:rPr>
          <w:i/>
        </w:rPr>
      </w:pPr>
    </w:p>
    <w:p w14:paraId="08E44410" w14:textId="5E5AF48C" w:rsidR="00D95DF9" w:rsidRPr="00557367" w:rsidRDefault="00CF4462" w:rsidP="00813421">
      <w:r w:rsidRPr="00557367">
        <w:t xml:space="preserve">Our </w:t>
      </w:r>
      <w:r w:rsidR="007D7328" w:rsidRPr="00557367">
        <w:t xml:space="preserve">third </w:t>
      </w:r>
      <w:r w:rsidRPr="00557367">
        <w:t xml:space="preserve">hypothesis at the individual level </w:t>
      </w:r>
      <w:r w:rsidR="00801918" w:rsidRPr="00557367">
        <w:t xml:space="preserve">deals with the impact of </w:t>
      </w:r>
      <w:r w:rsidR="005B1AB1" w:rsidRPr="00557367">
        <w:t>civil society</w:t>
      </w:r>
      <w:r w:rsidR="0023425B" w:rsidRPr="00557367">
        <w:t xml:space="preserve"> organisations </w:t>
      </w:r>
      <w:r w:rsidR="00801918" w:rsidRPr="00557367">
        <w:t xml:space="preserve">in fostering political engagement. </w:t>
      </w:r>
      <w:r w:rsidR="00EC6E48" w:rsidRPr="00557367">
        <w:t xml:space="preserve">A considerable number of </w:t>
      </w:r>
      <w:r w:rsidR="0023425B" w:rsidRPr="00557367">
        <w:t>empirical studies have shown that members of associations consistently exhibit higher levels of political participation than non-members</w:t>
      </w:r>
      <w:r w:rsidR="00ED07E5" w:rsidRPr="00557367">
        <w:t xml:space="preserve"> </w:t>
      </w:r>
      <w:r w:rsidR="00833079" w:rsidRPr="00557367">
        <w:fldChar w:fldCharType="begin"/>
      </w:r>
      <w:r w:rsidR="00E40197" w:rsidRPr="00557367">
        <w:instrText xml:space="preserve"> ADDIN ZOTERO_ITEM CSL_CITATION {"citationID":"shfCW5gw","properties":{"unsorted":true,"formattedCitation":"(Almond and Verba, 1965; Verba et al., 1995; Putnam, 2000)","plainCitation":"(Almond and Verba, 1965; Verba et al., 1995; Putnam, 2000)"},"citationItems":[{"id":537,"uris":["http://zotero.org/users/109723/items/JDH36298"],"uri":["http://zotero.org/users/109723/items/JDH36298"],"itemData":{"id":537,"type":"book","title":"The Civic Culture; Political Attitudes and Democracy in Five Nations","publisher":"Little, Brown","publisher-place":"Boston","number-of-pages":"379","source":"Library of Congress Catalog","event-place":"Boston","call-number":"JA74 .A4 1965","author":[{"family":"Almond","given":"Gabriel A"},{"family":"Verba","given":"Sidney"}],"issued":{"date-parts":[["1965"]],"season":"1963"}}},{"id":162,"uris":["http://zotero.org/users/109723/items/7R4DBVMR"],"uri":["http://zotero.org/users/109723/items/7R4DBVMR"],"itemData":{"id":162,"type":"book","title":"Voice and Equality: Civic Voluntarism in American Politics","publisher":"Harvard University Press","publisher-place":"Cambridge","number-of-pages":"640","source":"Library of Congress Catalog","event-place":"Cambridge","ISBN":"0-674-94292-2","call-number":"JK1764 .V475 1995","shortTitle":"Voice and Equality","author":[{"family":"Verba","given":"Sidney"},{"family":"Schlozman","given":"Kay Lehman"},{"family":"Brady","given":"Henry E"}],"issued":{"date-parts":[["1995"]]}}},{"id":267,"uris":["http://zotero.org/users/109723/items/B2PFV38V"],"uri":["http://zotero.org/users/109723/items/B2PFV38V"],"itemData":{"id":267,"type":"book","title":"Bowling Alone: The Collapse and Revival of American Community","publisher":"Simon &amp; Schuster","publisher-place":"New York","number-of-pages":"541","source":"Library of Congress Catalog","event-place":"New York","ISBN":"0-684-83283-6","call-number":"HN65 .P878 2000","shortTitle":"Bowling Alone","author":[{"family":"Putnam","given":"Robert"}],"issued":{"date-parts":[["2000"]]}}}],"schema":"https://github.com/citation-style-language/schema/raw/master/csl-citation.json"} </w:instrText>
      </w:r>
      <w:r w:rsidR="00833079" w:rsidRPr="00557367">
        <w:fldChar w:fldCharType="separate"/>
      </w:r>
      <w:r w:rsidR="00F10CBD" w:rsidRPr="00557367">
        <w:t>(Almond and Verba, 1965; Verba et al., 1995; Putnam, 2000)</w:t>
      </w:r>
      <w:r w:rsidR="00833079" w:rsidRPr="00557367">
        <w:fldChar w:fldCharType="end"/>
      </w:r>
      <w:r w:rsidR="0023425B" w:rsidRPr="00557367">
        <w:t xml:space="preserve">. </w:t>
      </w:r>
      <w:r w:rsidR="0075753D" w:rsidRPr="00557367">
        <w:t xml:space="preserve">While </w:t>
      </w:r>
      <w:r w:rsidR="00801918" w:rsidRPr="00557367">
        <w:t xml:space="preserve">some </w:t>
      </w:r>
      <w:r w:rsidR="00F173BA" w:rsidRPr="00557367">
        <w:t xml:space="preserve">contend </w:t>
      </w:r>
      <w:r w:rsidR="00801918" w:rsidRPr="00557367">
        <w:t>that organisations</w:t>
      </w:r>
      <w:r w:rsidR="00ED07E5" w:rsidRPr="00557367">
        <w:t xml:space="preserve"> do </w:t>
      </w:r>
      <w:r w:rsidR="005473EB" w:rsidRPr="00557367">
        <w:t xml:space="preserve">not </w:t>
      </w:r>
      <w:r w:rsidR="00F173BA" w:rsidRPr="00557367">
        <w:t xml:space="preserve">generate </w:t>
      </w:r>
      <w:r w:rsidR="005473EB" w:rsidRPr="00557367">
        <w:t>more</w:t>
      </w:r>
      <w:r w:rsidR="00ED07E5" w:rsidRPr="00557367">
        <w:t xml:space="preserve"> </w:t>
      </w:r>
      <w:r w:rsidR="005473EB" w:rsidRPr="00557367">
        <w:t xml:space="preserve">engaged individuals </w:t>
      </w:r>
      <w:r w:rsidR="00ED07E5" w:rsidRPr="00557367">
        <w:t xml:space="preserve">but instead pool </w:t>
      </w:r>
      <w:r w:rsidR="0075753D" w:rsidRPr="00557367">
        <w:t xml:space="preserve">them </w:t>
      </w:r>
      <w:r w:rsidR="00ED07E5" w:rsidRPr="00557367">
        <w:t xml:space="preserve">together </w:t>
      </w:r>
      <w:r w:rsidR="00833079" w:rsidRPr="00557367">
        <w:fldChar w:fldCharType="begin"/>
      </w:r>
      <w:r w:rsidR="00E40197" w:rsidRPr="00557367">
        <w:instrText xml:space="preserve"> ADDIN ZOTERO_ITEM CSL_CITATION {"citationID":"AbOGnfni","properties":{"formattedCitation":"(van der Meer and van Ingen, 2009)","plainCitation":"(van der Meer and van Ingen, 2009)"},"citationItems":[{"id":317,"uris":["http://zotero.org/users/109723/items/CQWG8TMK"],"uri":["http://zotero.org/users/109723/items/CQWG8TMK"],"itemData":{"id":317,"type":"article-journal","title":"Schools of democracy? Disentangling the relationship between civic participation and political action in 17 European countries","container-title":"European Journal of Political Research","page":"281-308","volume":"48","issue":"2","source":"CrossRef","DOI":"10.1111/j.1475-6765.2008.00836.x","ISSN":"03044130","shortTitle":"Schools of democracy?","author":[{"family":"Meer","given":"Tom","non-dropping-particle":"van der"},{"family":"Ingen","given":"Erik","non-dropping-particle":"van"}],"issued":{"date-parts":[["2009",3]]}}}],"schema":"https://github.com/citation-style-language/schema/raw/master/csl-citation.json"} </w:instrText>
      </w:r>
      <w:r w:rsidR="00833079" w:rsidRPr="00557367">
        <w:fldChar w:fldCharType="separate"/>
      </w:r>
      <w:r w:rsidR="00F10CBD" w:rsidRPr="00557367">
        <w:t>(van der Meer and van Ingen, 2009)</w:t>
      </w:r>
      <w:r w:rsidR="00833079" w:rsidRPr="00557367">
        <w:fldChar w:fldCharType="end"/>
      </w:r>
      <w:r w:rsidR="005473EB" w:rsidRPr="00557367">
        <w:t>,</w:t>
      </w:r>
      <w:r w:rsidR="00ED07E5" w:rsidRPr="00557367">
        <w:t xml:space="preserve"> </w:t>
      </w:r>
      <w:r w:rsidR="0023425B" w:rsidRPr="00557367">
        <w:t xml:space="preserve">we can </w:t>
      </w:r>
      <w:r w:rsidR="00F173BA" w:rsidRPr="00557367">
        <w:t xml:space="preserve">nevertheless </w:t>
      </w:r>
      <w:r w:rsidR="001C6F24" w:rsidRPr="00557367">
        <w:t xml:space="preserve">expect </w:t>
      </w:r>
      <w:r w:rsidR="0023425B" w:rsidRPr="00557367">
        <w:t>that members of organisations will discuss politics more frequently</w:t>
      </w:r>
      <w:r w:rsidR="00ED07E5" w:rsidRPr="00557367">
        <w:t xml:space="preserve"> than non-members.</w:t>
      </w:r>
      <w:r w:rsidR="00CB67E9" w:rsidRPr="00557367">
        <w:t xml:space="preserve"> </w:t>
      </w:r>
      <w:r w:rsidR="001C6F24" w:rsidRPr="00557367">
        <w:t xml:space="preserve">It has </w:t>
      </w:r>
      <w:r w:rsidR="00F173BA" w:rsidRPr="00557367">
        <w:t xml:space="preserve">also </w:t>
      </w:r>
      <w:r w:rsidR="001C6F24" w:rsidRPr="00557367">
        <w:t xml:space="preserve">been </w:t>
      </w:r>
      <w:r w:rsidR="00F173BA" w:rsidRPr="00557367">
        <w:t>argued</w:t>
      </w:r>
      <w:r w:rsidR="00EF2A89" w:rsidRPr="00557367">
        <w:t xml:space="preserve"> </w:t>
      </w:r>
      <w:r w:rsidR="00CB67E9" w:rsidRPr="00557367">
        <w:t xml:space="preserve">that not all civil society organisations </w:t>
      </w:r>
      <w:r w:rsidR="001C6F24" w:rsidRPr="00557367">
        <w:t xml:space="preserve">have identical effects in terms of political socialisation </w:t>
      </w:r>
      <w:r w:rsidR="001C6F24" w:rsidRPr="00557367">
        <w:fldChar w:fldCharType="begin"/>
      </w:r>
      <w:r w:rsidR="001C6F24" w:rsidRPr="00557367">
        <w:instrText xml:space="preserve"> ADDIN ZOTERO_ITEM CSL_CITATION {"citationID":"2e9r3gjvub","properties":{"formattedCitation":"(Quintelier, 2008)","plainCitation":"(Quintelier, 2008)"},"citationItems":[{"id":37,"uris":["http://zotero.org/users/109723/items/3BBTBXJM"],"uri":["http://zotero.org/users/109723/items/3BBTBXJM"],"itemData":{"id":37,"type":"article-journal","title":"Who is Politically Active: The Athlete, the Scout Member or the Environmental Activist?","container-title":"Acta Sociologica","page":"355 -370","volume":"51","issue":"4","source":"Highwire 2.0","abstract":"Most research finds that voluntary engagement leads to more political participation. However, it is not entirely clear which type of organization encourages political participation and what skills are required. There is also some discussion about whether multiple memberships promote political participation. In this article, I use the Belgian Youth Survey (n = 6,330) in investigating the effect that type of organization, the time spent in organizations, the number of memberships and skills-related activities has on political participation. My findings suggest that voluntary organizations are powerful political socialization agents leading to young people engaging in politics. Young people who are members of several organizations are more active in politics, while spending a greater amount of time in one organization does not increase level of political participation. Cultural, deliberative and help organizations are more successful than expressive, religious—ethnic and youth groups in fostering political engagement. Finally, organizations that allow young people to take up a leadership role, or to organize activities, encourage participation in political activities.","DOI":"10.1177/0001699308097378","shortTitle":"Who is Politically Active","author":[{"family":"Quintelier","given":"Ellen"}],"issued":{"date-parts":[["2008"]],"season":"Dezembro"}}}],"schema":"https://github.com/citation-style-language/schema/raw/master/csl-citation.json"} </w:instrText>
      </w:r>
      <w:r w:rsidR="001C6F24" w:rsidRPr="00557367">
        <w:fldChar w:fldCharType="separate"/>
      </w:r>
      <w:r w:rsidR="001C6F24" w:rsidRPr="00557367">
        <w:t>(Quintelier, 2008)</w:t>
      </w:r>
      <w:r w:rsidR="001C6F24" w:rsidRPr="00557367">
        <w:fldChar w:fldCharType="end"/>
      </w:r>
      <w:r w:rsidR="001C6F24" w:rsidRPr="00557367">
        <w:t>.</w:t>
      </w:r>
      <w:r w:rsidR="00F173BA" w:rsidRPr="00557367">
        <w:t xml:space="preserve"> This argument can be extended to the </w:t>
      </w:r>
      <w:r w:rsidR="000D766C" w:rsidRPr="00557367">
        <w:t xml:space="preserve">jurisdictional scale </w:t>
      </w:r>
      <w:r w:rsidR="00F173BA" w:rsidRPr="00557367">
        <w:t>that members of organisations engage it:</w:t>
      </w:r>
      <w:r w:rsidR="001C6F24" w:rsidRPr="00557367">
        <w:t xml:space="preserve"> while we should expect </w:t>
      </w:r>
      <w:r w:rsidR="00F173BA" w:rsidRPr="00557367">
        <w:t xml:space="preserve">membership in </w:t>
      </w:r>
      <w:r w:rsidR="001C6F24" w:rsidRPr="00557367">
        <w:t xml:space="preserve">a development aid organisation to foster political discussion mainly at the national level, a leisure association for the elderly probably does not exert a similar effect. </w:t>
      </w:r>
      <w:r w:rsidR="00EF2A89" w:rsidRPr="00557367">
        <w:t xml:space="preserve">We can expect the effect exerted by organisations upon </w:t>
      </w:r>
      <w:r w:rsidR="00D97570">
        <w:t xml:space="preserve">their </w:t>
      </w:r>
      <w:r w:rsidR="00EF2A89" w:rsidRPr="00557367">
        <w:t>members</w:t>
      </w:r>
      <w:r w:rsidR="00D97570">
        <w:t>’</w:t>
      </w:r>
      <w:r w:rsidR="00EF2A89" w:rsidRPr="00557367">
        <w:t xml:space="preserve"> </w:t>
      </w:r>
      <w:r w:rsidR="00D97570">
        <w:t xml:space="preserve">level engagement </w:t>
      </w:r>
      <w:r w:rsidR="00EF2A89" w:rsidRPr="00557367">
        <w:t xml:space="preserve">to depend on their </w:t>
      </w:r>
      <w:r w:rsidR="00D97570">
        <w:t xml:space="preserve">preferential scope </w:t>
      </w:r>
      <w:r w:rsidR="00EF2A89" w:rsidRPr="00557367">
        <w:t xml:space="preserve">of intervention. </w:t>
      </w:r>
      <w:proofErr w:type="gramStart"/>
      <w:r w:rsidR="001C6F24" w:rsidRPr="00557367">
        <w:t>Therefore</w:t>
      </w:r>
      <w:proofErr w:type="gramEnd"/>
      <w:r w:rsidR="001C6F24" w:rsidRPr="00557367">
        <w:t xml:space="preserve"> we expect that:</w:t>
      </w:r>
    </w:p>
    <w:p w14:paraId="08E44411" w14:textId="77777777" w:rsidR="00D95DF9" w:rsidRPr="00557367" w:rsidRDefault="00D95DF9" w:rsidP="00813421"/>
    <w:p w14:paraId="08E44412" w14:textId="481BD9B7" w:rsidR="00D95DF9" w:rsidRPr="00557367" w:rsidRDefault="00D95DF9" w:rsidP="00813421">
      <w:pPr>
        <w:ind w:left="567" w:right="566" w:firstLine="0"/>
        <w:rPr>
          <w:i/>
        </w:rPr>
      </w:pPr>
      <w:r w:rsidRPr="00557367">
        <w:rPr>
          <w:i/>
        </w:rPr>
        <w:t>H</w:t>
      </w:r>
      <w:r w:rsidR="007D7328" w:rsidRPr="00557367">
        <w:rPr>
          <w:i/>
        </w:rPr>
        <w:t>3</w:t>
      </w:r>
      <w:r w:rsidRPr="00557367">
        <w:rPr>
          <w:i/>
        </w:rPr>
        <w:t>.A</w:t>
      </w:r>
      <w:r w:rsidR="009828C0" w:rsidRPr="00557367">
        <w:rPr>
          <w:i/>
        </w:rPr>
        <w:t>:</w:t>
      </w:r>
      <w:r w:rsidRPr="00557367">
        <w:rPr>
          <w:i/>
        </w:rPr>
        <w:t xml:space="preserve"> </w:t>
      </w:r>
      <w:r w:rsidR="0023425B" w:rsidRPr="00557367">
        <w:rPr>
          <w:i/>
        </w:rPr>
        <w:t xml:space="preserve">A more intense </w:t>
      </w:r>
      <w:r w:rsidR="005473EB" w:rsidRPr="00557367">
        <w:rPr>
          <w:i/>
        </w:rPr>
        <w:t>involvement</w:t>
      </w:r>
      <w:r w:rsidR="0023425B" w:rsidRPr="00557367">
        <w:rPr>
          <w:i/>
        </w:rPr>
        <w:t xml:space="preserve"> with </w:t>
      </w:r>
      <w:r w:rsidR="005B1AB1" w:rsidRPr="00557367">
        <w:rPr>
          <w:i/>
        </w:rPr>
        <w:t>civil society</w:t>
      </w:r>
      <w:r w:rsidR="0023425B" w:rsidRPr="00557367">
        <w:rPr>
          <w:i/>
        </w:rPr>
        <w:t xml:space="preserve"> organisations </w:t>
      </w:r>
      <w:r w:rsidR="007D7328" w:rsidRPr="00557367">
        <w:rPr>
          <w:i/>
        </w:rPr>
        <w:t xml:space="preserve">oriented towards the national level </w:t>
      </w:r>
      <w:r w:rsidR="0023425B" w:rsidRPr="00557367">
        <w:rPr>
          <w:i/>
        </w:rPr>
        <w:t xml:space="preserve">will lead to </w:t>
      </w:r>
      <w:r w:rsidR="007D7328" w:rsidRPr="00557367">
        <w:rPr>
          <w:i/>
        </w:rPr>
        <w:t xml:space="preserve">more frequent discussion about </w:t>
      </w:r>
      <w:r w:rsidR="0023425B" w:rsidRPr="00557367">
        <w:rPr>
          <w:i/>
        </w:rPr>
        <w:t>national politics</w:t>
      </w:r>
      <w:r w:rsidR="00051949" w:rsidRPr="00557367">
        <w:rPr>
          <w:i/>
        </w:rPr>
        <w:t>.</w:t>
      </w:r>
    </w:p>
    <w:p w14:paraId="7B65C9A4" w14:textId="1FCC083B" w:rsidR="007D7328" w:rsidRPr="00557367" w:rsidRDefault="007D7328" w:rsidP="00813421">
      <w:pPr>
        <w:ind w:left="567" w:right="566" w:firstLine="0"/>
        <w:rPr>
          <w:i/>
        </w:rPr>
      </w:pPr>
      <w:r w:rsidRPr="00557367">
        <w:rPr>
          <w:i/>
        </w:rPr>
        <w:t>H3.</w:t>
      </w:r>
      <w:r w:rsidR="001C6F24" w:rsidRPr="00557367">
        <w:rPr>
          <w:i/>
        </w:rPr>
        <w:t>B</w:t>
      </w:r>
      <w:r w:rsidRPr="00557367">
        <w:rPr>
          <w:i/>
        </w:rPr>
        <w:t>: A more intense involvement with civil society organisations oriented towards the local level will lead to more frequent discussion about local politics.</w:t>
      </w:r>
    </w:p>
    <w:p w14:paraId="08E44415" w14:textId="77777777" w:rsidR="00CF4462" w:rsidRPr="00557367" w:rsidRDefault="00CF4462" w:rsidP="00813421"/>
    <w:p w14:paraId="08E44416" w14:textId="16CF665B" w:rsidR="00562D9A" w:rsidRPr="00557367" w:rsidRDefault="00EF2A89" w:rsidP="00813421">
      <w:r w:rsidRPr="00557367">
        <w:lastRenderedPageBreak/>
        <w:t>In addition to individual-level factors, macro</w:t>
      </w:r>
      <w:r w:rsidR="00D97570">
        <w:t xml:space="preserve"> </w:t>
      </w:r>
      <w:r w:rsidRPr="00557367">
        <w:t xml:space="preserve">variables have been shown to influence </w:t>
      </w:r>
      <w:r w:rsidR="00D97570">
        <w:t>political engagement</w:t>
      </w:r>
      <w:r w:rsidRPr="00557367">
        <w:t xml:space="preserve">. Given the cross-national nature of our study, </w:t>
      </w:r>
      <w:r w:rsidR="00335EA2" w:rsidRPr="00557367">
        <w:t>two hypotheses</w:t>
      </w:r>
      <w:r w:rsidR="0084740D" w:rsidRPr="00557367">
        <w:t xml:space="preserve"> </w:t>
      </w:r>
      <w:r w:rsidRPr="00557367">
        <w:t xml:space="preserve">at the country level </w:t>
      </w:r>
      <w:r w:rsidR="0084740D" w:rsidRPr="00557367">
        <w:t>will be tested</w:t>
      </w:r>
      <w:r w:rsidR="00335EA2" w:rsidRPr="00557367">
        <w:t xml:space="preserve">. </w:t>
      </w:r>
      <w:r w:rsidR="0099136F">
        <w:t xml:space="preserve">The first </w:t>
      </w:r>
      <w:r w:rsidR="0075753D" w:rsidRPr="00557367">
        <w:t>of them</w:t>
      </w:r>
      <w:r w:rsidR="004A70FE" w:rsidRPr="00557367">
        <w:t xml:space="preserve"> </w:t>
      </w:r>
      <w:r w:rsidR="00335EA2" w:rsidRPr="00557367">
        <w:t>deals with the impact of economic development</w:t>
      </w:r>
      <w:r w:rsidR="0084740D" w:rsidRPr="00557367">
        <w:t xml:space="preserve"> on </w:t>
      </w:r>
      <w:r w:rsidR="004A70FE" w:rsidRPr="00557367">
        <w:t xml:space="preserve">the degrees </w:t>
      </w:r>
      <w:r w:rsidR="0084740D" w:rsidRPr="00557367">
        <w:t>of political interest</w:t>
      </w:r>
      <w:r w:rsidR="00335EA2" w:rsidRPr="00557367">
        <w:t xml:space="preserve">. </w:t>
      </w:r>
      <w:r w:rsidR="006A118C" w:rsidRPr="00557367">
        <w:t>V</w:t>
      </w:r>
      <w:r w:rsidR="00562D9A" w:rsidRPr="00557367">
        <w:t xml:space="preserve">an </w:t>
      </w:r>
      <w:proofErr w:type="spellStart"/>
      <w:r w:rsidR="00562D9A" w:rsidRPr="00557367">
        <w:t>Deth</w:t>
      </w:r>
      <w:proofErr w:type="spellEnd"/>
      <w:r w:rsidR="00562D9A" w:rsidRPr="00557367">
        <w:t xml:space="preserve"> and </w:t>
      </w:r>
      <w:proofErr w:type="spellStart"/>
      <w:r w:rsidR="00562D9A" w:rsidRPr="00557367">
        <w:t>Elff</w:t>
      </w:r>
      <w:proofErr w:type="spellEnd"/>
      <w:r w:rsidR="00562D9A" w:rsidRPr="00557367">
        <w:t xml:space="preserve"> </w:t>
      </w:r>
      <w:r w:rsidR="00833079" w:rsidRPr="00557367">
        <w:fldChar w:fldCharType="begin"/>
      </w:r>
      <w:r w:rsidR="00E40197" w:rsidRPr="00557367">
        <w:instrText xml:space="preserve"> ADDIN ZOTERO_ITEM CSL_CITATION {"citationID":"YNjDwNjS","properties":{"formattedCitation":"(2004)","plainCitation":"(2004)"},"citationItems":[{"id":710,"uris":["http://zotero.org/users/109723/items/RRAEANFN"],"uri":["http://zotero.org/users/109723/items/RRAEANFN"],"itemData":{"id":710,"type":"article-journal","title":"Politicisation, economic development and political interest in Europe","container-title":"European Journal of Political Research","page":"477-508","volume":"43","issue":"3","source":"Wiley Online Library","abstract":"Abstract.  Political interest is usually depicted as an individual attribute that can be explained by referring to the resources and skills of citizens. The analyses presented here are based on a critical assessment of the explanatory power of these approaches in cross-national and longitudinal comparisons. A contextual model is presented emphasising the relevance of distinct degrees of politicisation and economic development in different societies in addition to traditional sociodemographic factors (education, date of birth and gender) at the microlevel. The resulting multilevel model combines both individual and contextual factors to explain the cross-national differences and changes in political involvement and apathy in Europe in the last three decades. The politicisation thesis, which states that the level of political interest among citizens is an increasing function of the relevance of societal and political arrangements in a society, is not supported by the empirical findings presented here. The most noteworthy conclusion is the remarkable disappearance of the impact of societal politicisation when the level of economic development of each country is included in multilevel models. The level of political interest, then, clearly depends on the level of economic development.","DOI":"10.1111/j.1475-6765.2004.00162.x","ISSN":"1475-6765","language":"en","author":[{"family":"Deth","given":"Jan","non-dropping-particle":"van"},{"family":"Elff","given":"Martin"}],"issued":{"date-parts":[["2004"]]}},"suppress-author":true}],"schema":"https://github.com/citation-style-language/schema/raw/master/csl-citation.json"} </w:instrText>
      </w:r>
      <w:r w:rsidR="00833079" w:rsidRPr="00557367">
        <w:fldChar w:fldCharType="separate"/>
      </w:r>
      <w:r w:rsidR="00F10CBD" w:rsidRPr="00557367">
        <w:t>(2004)</w:t>
      </w:r>
      <w:r w:rsidR="00833079" w:rsidRPr="00557367">
        <w:fldChar w:fldCharType="end"/>
      </w:r>
      <w:r w:rsidR="00562D9A" w:rsidRPr="00557367">
        <w:t xml:space="preserve"> </w:t>
      </w:r>
      <w:r w:rsidR="00E2339F" w:rsidRPr="00557367">
        <w:t xml:space="preserve">conclude </w:t>
      </w:r>
      <w:r w:rsidR="001734E0" w:rsidRPr="00557367">
        <w:t xml:space="preserve">that </w:t>
      </w:r>
      <w:r w:rsidR="00F93DB2" w:rsidRPr="00557367">
        <w:t xml:space="preserve">frequency of </w:t>
      </w:r>
      <w:r w:rsidR="00051949" w:rsidRPr="00557367">
        <w:t>(</w:t>
      </w:r>
      <w:r w:rsidR="006A2254" w:rsidRPr="00557367">
        <w:t>general</w:t>
      </w:r>
      <w:r w:rsidR="004A70FE" w:rsidRPr="00557367">
        <w:t>ist</w:t>
      </w:r>
      <w:r w:rsidR="00051949" w:rsidRPr="00557367">
        <w:t>)</w:t>
      </w:r>
      <w:r w:rsidR="006A2254" w:rsidRPr="00557367">
        <w:t xml:space="preserve"> </w:t>
      </w:r>
      <w:r w:rsidR="001734E0" w:rsidRPr="00557367">
        <w:t xml:space="preserve">political </w:t>
      </w:r>
      <w:r w:rsidR="00F93DB2" w:rsidRPr="00557367">
        <w:t xml:space="preserve">discussion </w:t>
      </w:r>
      <w:r w:rsidR="006A2254" w:rsidRPr="00557367">
        <w:t xml:space="preserve">varies as </w:t>
      </w:r>
      <w:r w:rsidR="001734E0" w:rsidRPr="00557367">
        <w:t xml:space="preserve">a function of </w:t>
      </w:r>
      <w:r w:rsidR="00051949" w:rsidRPr="00557367">
        <w:t xml:space="preserve">national </w:t>
      </w:r>
      <w:r w:rsidR="001734E0" w:rsidRPr="00557367">
        <w:t>economic development.</w:t>
      </w:r>
      <w:r w:rsidR="00E2339F" w:rsidRPr="00557367">
        <w:t xml:space="preserve"> </w:t>
      </w:r>
      <w:r w:rsidR="00444A92" w:rsidRPr="00557367">
        <w:t xml:space="preserve">Analogous findings emerge from research about the levels of political participation in Eastern Europe </w:t>
      </w:r>
      <w:r w:rsidR="00833079" w:rsidRPr="00557367">
        <w:fldChar w:fldCharType="begin"/>
      </w:r>
      <w:r w:rsidR="00432CCD" w:rsidRPr="00557367">
        <w:instrText xml:space="preserve"> ADDIN ZOTERO_ITEM CSL_CITATION {"citationID":"14sq6rs8ad","properties":{"formattedCitation":"(Hooghe and Quintelier, 2014)","plainCitation":"(Hooghe and Quintelier, 2014)"},"citationItems":[{"id":84,"uris":["http://zotero.org/users/109723/items/57QT2WEF"],"uri":["http://zotero.org/users/109723/items/57QT2WEF"],"itemData":{"id":84,"type":"article-journal","title":"Political participation in European countries: The effect of authoritarian rule, corruption, lack of good governance and economic downturn","container-title":"Comparative European Politics","page":"209-232","volume":"12","issue":"2","source":"www.palgrave-journals.com","abstract":"Two decades after democratic transition, political participation levels in Central and Eastern Europe remain significantly lower than in Western European countries. Although some authors invoke the socialization of citizens under authoritarian regimes as a cause, others hint at the fact that these countries still experience corruption, lack of good governance and low levels of economic development. In this article, we test both theoretical claims, by conducting a multilevel analysis on the full sample of the European Social Survey in the period 2002–2008, introducing a distinction between institutionalized and non-institutionalized forms of participation. The analysis demonstrates that, controlling for all relevant individual level characteristics, an authoritarian legacy, the perception of corruption, bad governance and low income levels have a negative impact on participation levels. Controlling for corruption levels and lack of good governance, the effect of an authoritarian legacy is rendered non-significant. An analysis by age and cohort suggests that the effect of current experiences with corruption are more powerful than the effect of an authoritarian legacy. As such, our findings support the claim that especially bad governance and corruption have a strong negative impact on civic engagement in Central and Eastern Europe.","DOI":"10.1057/cep.2013.3","ISSN":"1472-4790","shortTitle":"Political participation in European countries","journalAbbreviation":"Comp Eur Polit","language":"en","author":[{"family":"Hooghe","given":"Marc"},{"family":"Quintelier","given":"Ellen"}],"issued":{"date-parts":[["2014",3]]}}}],"schema":"https://github.com/citation-style-language/schema/raw/master/csl-citation.json"} </w:instrText>
      </w:r>
      <w:r w:rsidR="00833079" w:rsidRPr="00557367">
        <w:fldChar w:fldCharType="separate"/>
      </w:r>
      <w:r w:rsidR="00432CCD" w:rsidRPr="00557367">
        <w:t>(Hooghe and Quintelier, 2014)</w:t>
      </w:r>
      <w:r w:rsidR="00833079" w:rsidRPr="00557367">
        <w:fldChar w:fldCharType="end"/>
      </w:r>
      <w:r w:rsidR="00444A92" w:rsidRPr="00557367">
        <w:t xml:space="preserve">. </w:t>
      </w:r>
      <w:r w:rsidRPr="00557367">
        <w:t>Here, w</w:t>
      </w:r>
      <w:r w:rsidR="00D47DF8" w:rsidRPr="00557367">
        <w:t xml:space="preserve">e </w:t>
      </w:r>
      <w:r w:rsidR="001734E0" w:rsidRPr="00557367">
        <w:t>hypothesis</w:t>
      </w:r>
      <w:r w:rsidR="00D47DF8" w:rsidRPr="00557367">
        <w:t>e</w:t>
      </w:r>
      <w:r w:rsidR="001734E0" w:rsidRPr="00557367">
        <w:t xml:space="preserve"> that </w:t>
      </w:r>
      <w:r w:rsidR="00E2339F" w:rsidRPr="00557367">
        <w:t xml:space="preserve">economic development </w:t>
      </w:r>
      <w:r w:rsidR="001734E0" w:rsidRPr="00557367">
        <w:t xml:space="preserve">will </w:t>
      </w:r>
      <w:r w:rsidR="0084740D" w:rsidRPr="00557367">
        <w:t xml:space="preserve">be more associated with </w:t>
      </w:r>
      <w:r w:rsidR="001734E0" w:rsidRPr="00557367">
        <w:t xml:space="preserve">interest in national </w:t>
      </w:r>
      <w:r w:rsidR="0084740D" w:rsidRPr="00557367">
        <w:t xml:space="preserve">rather than </w:t>
      </w:r>
      <w:r w:rsidR="001734E0" w:rsidRPr="00557367">
        <w:t>local politics</w:t>
      </w:r>
      <w:r w:rsidR="00AB5505" w:rsidRPr="00557367">
        <w:t xml:space="preserve">. </w:t>
      </w:r>
      <w:r w:rsidR="001C6F24" w:rsidRPr="00557367">
        <w:t>Modernisation theory suggests that economic development produces a homogeneously integrated</w:t>
      </w:r>
      <w:r w:rsidRPr="00557367">
        <w:t>, national</w:t>
      </w:r>
      <w:r w:rsidR="001C6F24" w:rsidRPr="00557367">
        <w:t xml:space="preserve"> public, increasingly void of the peculiarities of local political subcultures </w:t>
      </w:r>
      <w:r w:rsidR="001C6F24" w:rsidRPr="00557367">
        <w:fldChar w:fldCharType="begin"/>
      </w:r>
      <w:r w:rsidR="001C6F24" w:rsidRPr="00557367">
        <w:instrText xml:space="preserve"> ADDIN ZOTERO_ITEM CSL_CITATION {"citationID":"EVVJIIhU","properties":{"formattedCitation":"(Sellers et al., 2013)","plainCitation":"(Sellers et al., 2013)"},"citationItems":[{"id":753,"uris":["http://zotero.org/users/109723/items/T9V585TB"],"uri":["http://zotero.org/users/109723/items/T9V585TB"],"itemData":{"id":753,"type":"book","title":"The political ecology of the metropolis: metropolitan sources of electoral behaviour in eleven countries","publisher":"ECPR Press","publisher-place":"Colchester","source":"Open WorldCat","event-place":"Colchester","ISBN":"978-1-907301-37-7","shortTitle":"The political ecology of the metropolis","language":"English","author":[{"family":"Sellers","given":"Jefferey M"},{"family":"Kübler","given":"Daniel"},{"family":"Walter-Rogg","given":"Melanie"},{"family":"Walks","given":"Robert Alan"}],"issued":{"date-parts":[["2013"]]}}}],"schema":"https://github.com/citation-style-language/schema/raw/master/csl-citation.json"} </w:instrText>
      </w:r>
      <w:r w:rsidR="001C6F24" w:rsidRPr="00557367">
        <w:fldChar w:fldCharType="separate"/>
      </w:r>
      <w:r w:rsidR="001C6F24" w:rsidRPr="00557367">
        <w:t>(Sellers et al., 2013)</w:t>
      </w:r>
      <w:r w:rsidR="001C6F24" w:rsidRPr="00557367">
        <w:fldChar w:fldCharType="end"/>
      </w:r>
      <w:r w:rsidR="001C6F24" w:rsidRPr="00557367">
        <w:t xml:space="preserve">. </w:t>
      </w:r>
      <w:r w:rsidR="00AB5505" w:rsidRPr="00557367">
        <w:t xml:space="preserve">On the other hand, </w:t>
      </w:r>
      <w:r w:rsidR="005F3421" w:rsidRPr="00557367">
        <w:t xml:space="preserve">following </w:t>
      </w:r>
      <w:proofErr w:type="spellStart"/>
      <w:r w:rsidR="005F3421" w:rsidRPr="00557367">
        <w:t>Tarrow</w:t>
      </w:r>
      <w:proofErr w:type="spellEnd"/>
      <w:r w:rsidR="005F3421" w:rsidRPr="00557367">
        <w:t xml:space="preserve"> </w:t>
      </w:r>
      <w:r w:rsidR="00833079" w:rsidRPr="00557367">
        <w:fldChar w:fldCharType="begin"/>
      </w:r>
      <w:r w:rsidR="00E40197" w:rsidRPr="00557367">
        <w:instrText xml:space="preserve"> ADDIN ZOTERO_ITEM CSL_CITATION {"citationID":"tLYVEPZo","properties":{"formattedCitation":"(1971)","plainCitation":"(1971)"},"citationItems":[{"id":365,"uris":["http://zotero.org/users/109723/items/E5UWPFSI"],"uri":["http://zotero.org/users/109723/items/E5UWPFSI"],"itemData":{"id":365,"type":"article-journal","title":"The Urban-Rural Cleavage in Political Involvement: The Case of France","container-title":"The American Political Science Review","page":"341-357","volume":"65","issue":"2","source":"JSTOR","DOI":"10.2307/1954453","ISSN":"0003-0554","note":"ArticleType: research-article / Full publication date: Jun., 1971 / Copyright © 1971 American Political Science Association","shortTitle":"The Urban-Rural Cleavage in Political Involvement","author":[{"family":"Tarrow","given":"Sidney"}],"issued":{"date-parts":[["1971",6,1]]}},"suppress-author":true}],"schema":"https://github.com/citation-style-language/schema/raw/master/csl-citation.json"} </w:instrText>
      </w:r>
      <w:r w:rsidR="00833079" w:rsidRPr="00557367">
        <w:fldChar w:fldCharType="separate"/>
      </w:r>
      <w:r w:rsidR="00F10CBD" w:rsidRPr="00557367">
        <w:t>(1971)</w:t>
      </w:r>
      <w:r w:rsidR="00833079" w:rsidRPr="00557367">
        <w:fldChar w:fldCharType="end"/>
      </w:r>
      <w:r w:rsidR="001C6F24" w:rsidRPr="00557367">
        <w:t>,</w:t>
      </w:r>
      <w:r w:rsidR="005F3421" w:rsidRPr="00557367">
        <w:t xml:space="preserve"> </w:t>
      </w:r>
      <w:r w:rsidR="00651704" w:rsidRPr="00557367">
        <w:t xml:space="preserve">it can be hypothesised that </w:t>
      </w:r>
      <w:r w:rsidR="00AB5505" w:rsidRPr="00557367">
        <w:t xml:space="preserve">individuals from comparatively </w:t>
      </w:r>
      <w:r w:rsidR="00651704" w:rsidRPr="00557367">
        <w:t xml:space="preserve">lower income </w:t>
      </w:r>
      <w:r w:rsidR="00497F25" w:rsidRPr="00557367">
        <w:t xml:space="preserve">contexts </w:t>
      </w:r>
      <w:r w:rsidR="0084740D" w:rsidRPr="00557367">
        <w:t xml:space="preserve">can </w:t>
      </w:r>
      <w:r w:rsidR="001C6F24" w:rsidRPr="00557367">
        <w:t xml:space="preserve">feel </w:t>
      </w:r>
      <w:r w:rsidR="0084740D" w:rsidRPr="00557367">
        <w:t xml:space="preserve">detached from </w:t>
      </w:r>
      <w:r w:rsidR="001C6F24" w:rsidRPr="00557367">
        <w:t xml:space="preserve">the </w:t>
      </w:r>
      <w:r w:rsidR="00651704" w:rsidRPr="00557367">
        <w:t>national level</w:t>
      </w:r>
      <w:r w:rsidR="001C6F24" w:rsidRPr="00557367">
        <w:t xml:space="preserve"> of pol</w:t>
      </w:r>
      <w:r w:rsidR="00F173BA" w:rsidRPr="00557367">
        <w:t>itics</w:t>
      </w:r>
      <w:r w:rsidR="00651704" w:rsidRPr="00557367">
        <w:t xml:space="preserve">, while </w:t>
      </w:r>
      <w:r w:rsidR="00F173BA" w:rsidRPr="00557367">
        <w:t xml:space="preserve">keeping </w:t>
      </w:r>
      <w:r w:rsidR="001C6F24" w:rsidRPr="00557367">
        <w:t xml:space="preserve">the habit of discussing </w:t>
      </w:r>
      <w:r w:rsidR="0084740D" w:rsidRPr="00557367">
        <w:t xml:space="preserve">local </w:t>
      </w:r>
      <w:r w:rsidR="001C6F24" w:rsidRPr="00557367">
        <w:t>political affairs</w:t>
      </w:r>
      <w:r w:rsidR="00651704" w:rsidRPr="00557367">
        <w:t xml:space="preserve">. </w:t>
      </w:r>
      <w:r w:rsidR="005F3421" w:rsidRPr="00557367">
        <w:t xml:space="preserve">Our </w:t>
      </w:r>
      <w:r w:rsidR="001C6F24" w:rsidRPr="00557367">
        <w:t xml:space="preserve">fourth </w:t>
      </w:r>
      <w:r w:rsidR="005F3421" w:rsidRPr="00557367">
        <w:t xml:space="preserve">hypothesis is </w:t>
      </w:r>
      <w:r w:rsidR="00651704" w:rsidRPr="00557367">
        <w:t>thus</w:t>
      </w:r>
      <w:r w:rsidR="00051949" w:rsidRPr="00557367">
        <w:t>:</w:t>
      </w:r>
    </w:p>
    <w:p w14:paraId="08E44417" w14:textId="77777777" w:rsidR="00FA014E" w:rsidRPr="00557367" w:rsidRDefault="00FA014E" w:rsidP="00813421"/>
    <w:p w14:paraId="08E44418" w14:textId="19FD992E" w:rsidR="00562D9A" w:rsidRPr="00557367" w:rsidRDefault="00562D9A" w:rsidP="00813421">
      <w:pPr>
        <w:ind w:left="708" w:right="707" w:firstLine="0"/>
        <w:rPr>
          <w:i/>
        </w:rPr>
      </w:pPr>
      <w:r w:rsidRPr="00557367">
        <w:rPr>
          <w:i/>
        </w:rPr>
        <w:t>H</w:t>
      </w:r>
      <w:r w:rsidR="007D7328" w:rsidRPr="00557367">
        <w:rPr>
          <w:i/>
        </w:rPr>
        <w:t>4</w:t>
      </w:r>
      <w:r w:rsidRPr="00557367">
        <w:rPr>
          <w:i/>
        </w:rPr>
        <w:t xml:space="preserve"> – </w:t>
      </w:r>
      <w:r w:rsidR="00CB67E9" w:rsidRPr="00557367">
        <w:rPr>
          <w:i/>
        </w:rPr>
        <w:t xml:space="preserve">Living in a country with </w:t>
      </w:r>
      <w:r w:rsidR="00C20EED" w:rsidRPr="00557367">
        <w:rPr>
          <w:i/>
        </w:rPr>
        <w:t>a</w:t>
      </w:r>
      <w:r w:rsidRPr="00557367">
        <w:rPr>
          <w:i/>
        </w:rPr>
        <w:t xml:space="preserve"> higher GDP </w:t>
      </w:r>
      <w:r w:rsidR="00C20EED" w:rsidRPr="00557367">
        <w:rPr>
          <w:i/>
        </w:rPr>
        <w:t xml:space="preserve">will </w:t>
      </w:r>
      <w:r w:rsidR="00CB67E9" w:rsidRPr="00557367">
        <w:rPr>
          <w:i/>
        </w:rPr>
        <w:t xml:space="preserve">increase </w:t>
      </w:r>
      <w:r w:rsidRPr="00557367">
        <w:rPr>
          <w:i/>
        </w:rPr>
        <w:t>interest in national politics</w:t>
      </w:r>
      <w:r w:rsidR="004A70FE" w:rsidRPr="00557367">
        <w:rPr>
          <w:i/>
        </w:rPr>
        <w:t>.</w:t>
      </w:r>
    </w:p>
    <w:p w14:paraId="08E44419" w14:textId="77777777" w:rsidR="00562D9A" w:rsidRPr="00557367" w:rsidRDefault="00562D9A" w:rsidP="00813421"/>
    <w:p w14:paraId="08E4441A" w14:textId="452C46CD" w:rsidR="00FA014E" w:rsidRPr="00557367" w:rsidRDefault="00AB5505" w:rsidP="00813421">
      <w:r w:rsidRPr="00557367">
        <w:t xml:space="preserve">In addition to economic development, </w:t>
      </w:r>
      <w:r w:rsidR="005F3421" w:rsidRPr="00557367">
        <w:t>a</w:t>
      </w:r>
      <w:r w:rsidR="00F82AF5" w:rsidRPr="00557367">
        <w:t xml:space="preserve"> </w:t>
      </w:r>
      <w:r w:rsidR="00F173BA" w:rsidRPr="00557367">
        <w:t>relevant institutional</w:t>
      </w:r>
      <w:r w:rsidR="005F3421" w:rsidRPr="00557367">
        <w:t xml:space="preserve"> </w:t>
      </w:r>
      <w:r w:rsidR="00F82AF5" w:rsidRPr="00557367">
        <w:t xml:space="preserve">factor </w:t>
      </w:r>
      <w:r w:rsidR="000D766C" w:rsidRPr="00557367">
        <w:t xml:space="preserve">that can be expected to foster </w:t>
      </w:r>
      <w:r w:rsidR="00051949" w:rsidRPr="00557367">
        <w:t xml:space="preserve">interest in local politics </w:t>
      </w:r>
      <w:r w:rsidR="000D766C" w:rsidRPr="00557367">
        <w:t>is</w:t>
      </w:r>
      <w:r w:rsidR="00F82AF5" w:rsidRPr="00557367">
        <w:t xml:space="preserve"> the level of decentralization of the polity. </w:t>
      </w:r>
      <w:r w:rsidR="000D766C" w:rsidRPr="00557367">
        <w:t xml:space="preserve">We posit that citizens will be more likely to develop an interest in what is going on at the local level if it bears significance for their lives. </w:t>
      </w:r>
      <w:r w:rsidR="00497F25" w:rsidRPr="00557367">
        <w:t xml:space="preserve">In their seminal study, </w:t>
      </w:r>
      <w:r w:rsidR="009C168C" w:rsidRPr="00557367">
        <w:t xml:space="preserve">Almond and </w:t>
      </w:r>
      <w:proofErr w:type="spellStart"/>
      <w:r w:rsidR="009C168C" w:rsidRPr="00557367">
        <w:t>Verba</w:t>
      </w:r>
      <w:proofErr w:type="spellEnd"/>
      <w:r w:rsidR="009C168C" w:rsidRPr="00557367">
        <w:t xml:space="preserve"> </w:t>
      </w:r>
      <w:r w:rsidR="00833079" w:rsidRPr="00557367">
        <w:fldChar w:fldCharType="begin"/>
      </w:r>
      <w:r w:rsidR="00E40197" w:rsidRPr="00557367">
        <w:instrText xml:space="preserve"> ADDIN ZOTERO_ITEM CSL_CITATION {"citationID":"9KJYsWTN","properties":{"formattedCitation":"(1965, p. 125)","plainCitation":"(1965, p. 125)"},"citationItems":[{"id":537,"uris":["http://zotero.org/users/109723/items/JDH36298"],"uri":["http://zotero.org/users/109723/items/JDH36298"],"itemData":{"id":537,"type":"book","title":"The Civic Culture; Political Attitudes and Democracy in Five Nations","publisher":"Little, Brown","publisher-place":"Boston","number-of-pages":"379","source":"Library of Congress Catalog","event-place":"Boston","call-number":"JA74 .A4 1965","author":[{"family":"Almond","given":"Gabriel A"},{"family":"Verba","given":"Sidney"}],"issued":{"date-parts":[["1965"]],"season":"1963"}},"locator":"125","suppress-author":true}],"schema":"https://github.com/citation-style-language/schema/raw/master/csl-citation.json"} </w:instrText>
      </w:r>
      <w:r w:rsidR="00833079" w:rsidRPr="00557367">
        <w:fldChar w:fldCharType="separate"/>
      </w:r>
      <w:r w:rsidR="00F10CBD" w:rsidRPr="00557367">
        <w:t>(1965, p. 125)</w:t>
      </w:r>
      <w:r w:rsidR="00833079" w:rsidRPr="00557367">
        <w:fldChar w:fldCharType="end"/>
      </w:r>
      <w:r w:rsidR="009C168C" w:rsidRPr="00557367">
        <w:t xml:space="preserve"> </w:t>
      </w:r>
      <w:r w:rsidR="00051949" w:rsidRPr="00557367">
        <w:t xml:space="preserve">stress </w:t>
      </w:r>
      <w:r w:rsidR="009C168C" w:rsidRPr="00557367">
        <w:t>that the patterns of citizens’ attitudes towards their local government</w:t>
      </w:r>
      <w:r w:rsidR="00051949" w:rsidRPr="00557367">
        <w:t>s</w:t>
      </w:r>
      <w:r w:rsidR="009C168C" w:rsidRPr="00557367">
        <w:t xml:space="preserve"> vary precisely because the “structure of government and community organization changes from one nation to another”. </w:t>
      </w:r>
      <w:r w:rsidR="00EF2A89" w:rsidRPr="00557367">
        <w:t>I</w:t>
      </w:r>
      <w:r w:rsidR="00D47DF8" w:rsidRPr="00557367">
        <w:t xml:space="preserve">t has </w:t>
      </w:r>
      <w:r w:rsidR="00EF2A89" w:rsidRPr="00557367">
        <w:t xml:space="preserve">also </w:t>
      </w:r>
      <w:r w:rsidR="00D47DF8" w:rsidRPr="00557367">
        <w:t xml:space="preserve">been shown by </w:t>
      </w:r>
      <w:r w:rsidR="006A2254" w:rsidRPr="00557367">
        <w:t xml:space="preserve">Fitzgerald and Wolak </w:t>
      </w:r>
      <w:r w:rsidR="00833079" w:rsidRPr="00557367">
        <w:fldChar w:fldCharType="begin"/>
      </w:r>
      <w:r w:rsidR="00E40197" w:rsidRPr="00557367">
        <w:instrText xml:space="preserve"> ADDIN ZOTERO_ITEM CSL_CITATION {"citationID":"UjUCmSMx","properties":{"formattedCitation":"(2014)","plainCitation":"(2014)"},"citationItems":[{"id":32,"uris":["http://zotero.org/users/109723/items/35I8HGC7"],"uri":["http://zotero.org/users/109723/items/35I8HGC7"],"itemData":{"id":32,"type":"article-journal","title":"The roots of trust in local government in western Europe","container-title":"International Political Science Review","page":"advance online publication 25 August, doi: 10.1177/0192512114545119","source":"ips.sagepub.com","abstract":"When people say that they trust local authorities, is it simply because they have generalized trust in national government? Or is trust in local government rooted in distinctive considerations, connected to the character of local communities and the balance of power across levels of government? We explore how trust in local and national government differs across individuals and across countries in western Europe. We find that people trust local government for different reasons than those that drive trust in national government. Cross-national differences in levels of trust in government reflect the character of national institutions. While both proportional representation systems and federal systems are power-sharing designs, each has distinctive consequences for trust. When opportunities for voice in local government are high, as in decentralized systems, people report greater trust in local government. When opportunities for voice in national government are limited, as in majoritarian systems, people report lower trust for national government and higher trust in local government.","DOI":"10.1177/0192512114545119","ISSN":"0192-5121, 1460-373X","journalAbbreviation":"International Political Science Review","language":"en","author":[{"family":"Fitzgerald","given":"Jennifer"},{"family":"Wolak","given":"Jennifer"}],"issued":{"date-parts":[["2014",8,5]]}},"suppress-author":true}],"schema":"https://github.com/citation-style-language/schema/raw/master/csl-citation.json"} </w:instrText>
      </w:r>
      <w:r w:rsidR="00833079" w:rsidRPr="00557367">
        <w:fldChar w:fldCharType="separate"/>
      </w:r>
      <w:r w:rsidR="00F10CBD" w:rsidRPr="00557367">
        <w:t>(2014)</w:t>
      </w:r>
      <w:r w:rsidR="00833079" w:rsidRPr="00557367">
        <w:fldChar w:fldCharType="end"/>
      </w:r>
      <w:r w:rsidR="006A2254" w:rsidRPr="00557367">
        <w:t xml:space="preserve"> that </w:t>
      </w:r>
      <w:r w:rsidR="006A118C" w:rsidRPr="00557367">
        <w:t xml:space="preserve">levels of </w:t>
      </w:r>
      <w:r w:rsidR="006A2254" w:rsidRPr="00557367">
        <w:t xml:space="preserve">trust in local and regional authorities </w:t>
      </w:r>
      <w:r w:rsidR="006A118C" w:rsidRPr="00557367">
        <w:t xml:space="preserve">vary </w:t>
      </w:r>
      <w:r w:rsidR="00335EA2" w:rsidRPr="00557367">
        <w:t xml:space="preserve">as a function of the degree </w:t>
      </w:r>
      <w:r w:rsidR="006A2254" w:rsidRPr="00557367">
        <w:t>decentralization</w:t>
      </w:r>
      <w:r w:rsidR="00335EA2" w:rsidRPr="00557367">
        <w:t xml:space="preserve"> of a polity</w:t>
      </w:r>
      <w:r w:rsidR="006A2254" w:rsidRPr="00557367">
        <w:t>.</w:t>
      </w:r>
      <w:r w:rsidR="00F82AF5" w:rsidRPr="00557367">
        <w:t xml:space="preserve"> </w:t>
      </w:r>
      <w:proofErr w:type="gramStart"/>
      <w:r w:rsidR="00EA5192" w:rsidRPr="00557367">
        <w:t>Thus</w:t>
      </w:r>
      <w:proofErr w:type="gramEnd"/>
      <w:r w:rsidR="00EA5192" w:rsidRPr="00557367">
        <w:t xml:space="preserve"> o</w:t>
      </w:r>
      <w:r w:rsidR="00F82AF5" w:rsidRPr="00557367">
        <w:t xml:space="preserve">ur final hypothesis </w:t>
      </w:r>
      <w:r w:rsidR="00335EA2" w:rsidRPr="00557367">
        <w:t>reads</w:t>
      </w:r>
      <w:r w:rsidR="00051949" w:rsidRPr="00557367">
        <w:t>:</w:t>
      </w:r>
    </w:p>
    <w:p w14:paraId="08E4441B" w14:textId="77777777" w:rsidR="00FA014E" w:rsidRPr="00557367" w:rsidRDefault="00FA014E" w:rsidP="00813421"/>
    <w:p w14:paraId="08E4441C" w14:textId="56B30462" w:rsidR="009C168C" w:rsidRPr="00557367" w:rsidRDefault="00FA014E" w:rsidP="00813421">
      <w:pPr>
        <w:ind w:left="709" w:firstLine="0"/>
        <w:rPr>
          <w:i/>
        </w:rPr>
      </w:pPr>
      <w:r w:rsidRPr="00557367">
        <w:rPr>
          <w:i/>
        </w:rPr>
        <w:t>H</w:t>
      </w:r>
      <w:r w:rsidR="007D7328" w:rsidRPr="00557367">
        <w:rPr>
          <w:i/>
        </w:rPr>
        <w:t>5</w:t>
      </w:r>
      <w:r w:rsidRPr="00557367">
        <w:rPr>
          <w:i/>
        </w:rPr>
        <w:t xml:space="preserve"> – </w:t>
      </w:r>
      <w:r w:rsidR="00CB67E9" w:rsidRPr="00557367">
        <w:rPr>
          <w:i/>
        </w:rPr>
        <w:t>Living in a country with a</w:t>
      </w:r>
      <w:r w:rsidR="002E0E23" w:rsidRPr="00557367">
        <w:rPr>
          <w:i/>
        </w:rPr>
        <w:t xml:space="preserve"> higher </w:t>
      </w:r>
      <w:r w:rsidRPr="00557367">
        <w:rPr>
          <w:i/>
        </w:rPr>
        <w:t xml:space="preserve">degree of decentralization </w:t>
      </w:r>
      <w:r w:rsidR="00C20EED" w:rsidRPr="00557367">
        <w:rPr>
          <w:i/>
        </w:rPr>
        <w:t xml:space="preserve">will </w:t>
      </w:r>
      <w:r w:rsidR="00B038F5" w:rsidRPr="00557367">
        <w:rPr>
          <w:i/>
        </w:rPr>
        <w:t xml:space="preserve">foster </w:t>
      </w:r>
      <w:r w:rsidR="002E0E23" w:rsidRPr="00557367">
        <w:rPr>
          <w:i/>
        </w:rPr>
        <w:t xml:space="preserve">a </w:t>
      </w:r>
      <w:r w:rsidRPr="00557367">
        <w:rPr>
          <w:i/>
        </w:rPr>
        <w:t>hi</w:t>
      </w:r>
      <w:r w:rsidR="00A97CFC" w:rsidRPr="00557367">
        <w:rPr>
          <w:i/>
        </w:rPr>
        <w:t xml:space="preserve">gher </w:t>
      </w:r>
      <w:r w:rsidR="00310921" w:rsidRPr="00557367">
        <w:rPr>
          <w:i/>
        </w:rPr>
        <w:t xml:space="preserve">level of </w:t>
      </w:r>
      <w:r w:rsidR="00A97CFC" w:rsidRPr="00557367">
        <w:rPr>
          <w:i/>
        </w:rPr>
        <w:t>interest in local politics</w:t>
      </w:r>
    </w:p>
    <w:p w14:paraId="08E4441D" w14:textId="77777777" w:rsidR="009C168C" w:rsidRPr="00557367" w:rsidRDefault="009C168C" w:rsidP="00813421">
      <w:pPr>
        <w:ind w:left="709" w:firstLine="0"/>
        <w:rPr>
          <w:i/>
        </w:rPr>
      </w:pPr>
    </w:p>
    <w:p w14:paraId="08E4441E" w14:textId="77777777" w:rsidR="00387818" w:rsidRPr="00557367" w:rsidRDefault="00E10BAB" w:rsidP="00813421">
      <w:pPr>
        <w:pStyle w:val="ListParagraph"/>
        <w:numPr>
          <w:ilvl w:val="0"/>
          <w:numId w:val="10"/>
        </w:numPr>
        <w:spacing w:after="160"/>
        <w:rPr>
          <w:b/>
        </w:rPr>
      </w:pPr>
      <w:r w:rsidRPr="00557367">
        <w:rPr>
          <w:b/>
        </w:rPr>
        <w:t xml:space="preserve">Data and </w:t>
      </w:r>
      <w:r w:rsidR="00713F4C" w:rsidRPr="00557367">
        <w:rPr>
          <w:b/>
        </w:rPr>
        <w:t>methods</w:t>
      </w:r>
    </w:p>
    <w:p w14:paraId="03868F83" w14:textId="4EC65AA7" w:rsidR="007D7328" w:rsidRPr="00557367" w:rsidRDefault="003D58FE" w:rsidP="00813421">
      <w:r w:rsidRPr="00557367">
        <w:lastRenderedPageBreak/>
        <w:t xml:space="preserve">Several </w:t>
      </w:r>
      <w:r w:rsidR="007D7328" w:rsidRPr="00557367">
        <w:t>s</w:t>
      </w:r>
      <w:r w:rsidR="001000C0" w:rsidRPr="00557367">
        <w:t>tudies about (generalist) political discussion in Europe</w:t>
      </w:r>
      <w:r w:rsidRPr="00557367">
        <w:t xml:space="preserve"> </w:t>
      </w:r>
      <w:r w:rsidRPr="00557367">
        <w:fldChar w:fldCharType="begin"/>
      </w:r>
      <w:r w:rsidRPr="00557367">
        <w:instrText xml:space="preserve"> ADDIN ZOTERO_ITEM CSL_CITATION {"citationID":"2nfo2b209n","properties":{"formattedCitation":"(Inglehart, 1990; Sanders and Bellucci, 2012; van Deth and Elff, 2004)","plainCitation":"(Inglehart, 1990; Sanders and Bellucci, 2012; van Deth and Elff, 2004)"},"citationItems":[{"id":461,"uris":["http://zotero.org/users/109723/items/GT9VTZAZ"],"uri":["http://zotero.org/users/109723/items/GT9VTZAZ"],"itemData":{"id":461,"type":"book","title":"Culture shift in advanced industrial society","publisher":"Princeton University Press","publisher-place":"Princeton, NJ","source":"Open WorldCat","event-place":"Princeton, NJ","ISBN":"978-0-691-07786-4","author":[{"family":"Inglehart","given":"Ronald"}],"issued":{"date-parts":[["1990"]]}}},{"id":47,"uris":["http://zotero.org/users/109723/items/3IQ5AG3B"],"uri":["http://zotero.org/users/109723/items/3IQ5AG3B"],"itemData":{"id":47,"type":"chapter","title":"Informal Political Engagement in Europe, 1975–2007","container-title":"Citizens and the European Polity","publisher":"Oxford University Press","publisher-place":"Oxford","page":"39-64","source":"CrossRef","event-place":"Oxford","URL":"http://oxfordindex.oup.com/view/10.1093/acprof:oso/9780199602339.003.0003","ISBN":"978-0-19-960233-9","editor":[{"family":"Sanders","given":"David"},{"family":"Magalhães","given":"Pedro"},{"family":"Toka","given":"Gabor"}],"author":[{"family":"Sanders","given":"David"},{"family":"Bellucci","given":"Paolo"}],"issued":{"date-parts":[["2012",7,26]]},"accessed":{"date-parts":[["2015",2,5]]}}},{"id":710,"uris":["http://zotero.org/users/109723/items/RRAEANFN"],"uri":["http://zotero.org/users/109723/items/RRAEANFN"],"itemData":{"id":710,"type":"article-journal","title":"Politicisation, economic development and political interest in Europe","container-title":"European Journal of Political Research","page":"477-508","volume":"43","issue":"3","source":"Wiley Online Library","abstract":"Abstract.  Political interest is usually depicted as an individual attribute that can be explained by referring to the resources and skills of citizens. The analyses presented here are based on a critical assessment of the explanatory power of these approaches in cross-national and longitudinal comparisons. A contextual model is presented emphasising the relevance of distinct degrees of politicisation and economic development in different societies in addition to traditional sociodemographic factors (education, date of birth and gender) at the microlevel. The resulting multilevel model combines both individual and contextual factors to explain the cross-national differences and changes in political involvement and apathy in Europe in the last three decades. The politicisation thesis, which states that the level of political interest among citizens is an increasing function of the relevance of societal and political arrangements in a society, is not supported by the empirical findings presented here. The most noteworthy conclusion is the remarkable disappearance of the impact of societal politicisation when the level of economic development of each country is included in multilevel models. The level of political interest, then, clearly depends on the level of economic development.","DOI":"10.1111/j.1475-6765.2004.00162.x","ISSN":"1475-6765","language":"en","author":[{"family":"Deth","given":"Jan","non-dropping-particle":"van"},{"family":"Elff","given":"Martin"}],"issued":{"date-parts":[["2004"]]}}}],"schema":"https://github.com/citation-style-language/schema/raw/master/csl-citation.json"} </w:instrText>
      </w:r>
      <w:r w:rsidRPr="00557367">
        <w:fldChar w:fldCharType="separate"/>
      </w:r>
      <w:r w:rsidRPr="00557367">
        <w:t>(Inglehart, 1990; Sanders and Bellucci, 2012; van Deth and Elff, 2004)</w:t>
      </w:r>
      <w:r w:rsidRPr="00557367">
        <w:fldChar w:fldCharType="end"/>
      </w:r>
      <w:r w:rsidR="001000C0" w:rsidRPr="00557367">
        <w:t xml:space="preserve"> </w:t>
      </w:r>
      <w:r w:rsidRPr="00557367">
        <w:t xml:space="preserve">rely </w:t>
      </w:r>
      <w:r w:rsidR="001000C0" w:rsidRPr="00557367">
        <w:t xml:space="preserve">on </w:t>
      </w:r>
      <w:r w:rsidRPr="00557367">
        <w:t xml:space="preserve">data from the </w:t>
      </w:r>
      <w:r w:rsidR="001000C0" w:rsidRPr="00557367">
        <w:t xml:space="preserve">Eurobarometer, which since 1973 has asked </w:t>
      </w:r>
      <w:r w:rsidR="00DC5896" w:rsidRPr="00557367">
        <w:t xml:space="preserve">the following question: </w:t>
      </w:r>
      <w:r w:rsidR="001000C0" w:rsidRPr="00557367">
        <w:t>“</w:t>
      </w:r>
      <w:r w:rsidR="001000C0" w:rsidRPr="00557367">
        <w:rPr>
          <w:i/>
        </w:rPr>
        <w:t>When you get together with friends would you say you discuss political matters frequently, occasionally or never</w:t>
      </w:r>
      <w:r w:rsidR="00DC5896" w:rsidRPr="00557367">
        <w:t>?”</w:t>
      </w:r>
      <w:r w:rsidR="001000C0" w:rsidRPr="00557367">
        <w:t xml:space="preserve"> </w:t>
      </w:r>
      <w:r w:rsidR="00E623D5" w:rsidRPr="00557367">
        <w:t>O</w:t>
      </w:r>
      <w:r w:rsidR="000B7D73" w:rsidRPr="00557367">
        <w:t xml:space="preserve">ur </w:t>
      </w:r>
      <w:r w:rsidR="00DC5896" w:rsidRPr="00557367">
        <w:t xml:space="preserve">research question </w:t>
      </w:r>
      <w:r w:rsidR="003263CA" w:rsidRPr="00557367">
        <w:t>requires</w:t>
      </w:r>
      <w:r w:rsidR="000B7D73" w:rsidRPr="00557367">
        <w:t xml:space="preserve"> </w:t>
      </w:r>
      <w:r w:rsidR="003263CA" w:rsidRPr="00557367">
        <w:t>data</w:t>
      </w:r>
      <w:r w:rsidR="00F52032" w:rsidRPr="00557367">
        <w:t xml:space="preserve"> about political </w:t>
      </w:r>
      <w:r w:rsidR="001000C0" w:rsidRPr="00557367">
        <w:t xml:space="preserve">discussion </w:t>
      </w:r>
      <w:r w:rsidR="00713933" w:rsidRPr="00557367">
        <w:t>about</w:t>
      </w:r>
      <w:r w:rsidR="000D766C" w:rsidRPr="00557367">
        <w:t xml:space="preserve"> </w:t>
      </w:r>
      <w:r w:rsidR="00F52032" w:rsidRPr="00557367">
        <w:t xml:space="preserve">multiple </w:t>
      </w:r>
      <w:r w:rsidR="00713933" w:rsidRPr="00557367">
        <w:t>jurisdictional scales</w:t>
      </w:r>
      <w:r w:rsidR="00E623D5" w:rsidRPr="00557367">
        <w:t>, which this question does not provide</w:t>
      </w:r>
      <w:r w:rsidR="00335EA2" w:rsidRPr="00557367">
        <w:t xml:space="preserve">. </w:t>
      </w:r>
      <w:r w:rsidR="00E623D5" w:rsidRPr="00557367">
        <w:t>However, s</w:t>
      </w:r>
      <w:r w:rsidR="003E5D77" w:rsidRPr="00557367">
        <w:t xml:space="preserve">ince 2010 </w:t>
      </w:r>
      <w:r w:rsidR="00335EA2" w:rsidRPr="00557367">
        <w:t xml:space="preserve">the </w:t>
      </w:r>
      <w:r w:rsidR="00E76FD2" w:rsidRPr="00557367">
        <w:t>Eurobarometer</w:t>
      </w:r>
      <w:r w:rsidR="003E5D77" w:rsidRPr="00557367">
        <w:t xml:space="preserve"> </w:t>
      </w:r>
      <w:r w:rsidR="00401C69" w:rsidRPr="00557367">
        <w:t>surveys</w:t>
      </w:r>
      <w:r w:rsidR="002E0E23" w:rsidRPr="00557367">
        <w:t xml:space="preserve"> </w:t>
      </w:r>
      <w:r w:rsidR="00401C69" w:rsidRPr="00557367">
        <w:t xml:space="preserve">have </w:t>
      </w:r>
      <w:r w:rsidR="00051949" w:rsidRPr="00557367">
        <w:t>regularly</w:t>
      </w:r>
      <w:r w:rsidR="00C20EED" w:rsidRPr="00557367">
        <w:t xml:space="preserve"> </w:t>
      </w:r>
      <w:r w:rsidR="00D705BE" w:rsidRPr="00557367">
        <w:t xml:space="preserve">included a question </w:t>
      </w:r>
      <w:r w:rsidR="001000C0" w:rsidRPr="00557367">
        <w:t xml:space="preserve">that replicates the </w:t>
      </w:r>
      <w:r w:rsidR="007D7328" w:rsidRPr="00557367">
        <w:t xml:space="preserve">above formulation for </w:t>
      </w:r>
      <w:r w:rsidR="003263CA" w:rsidRPr="00557367">
        <w:t>local, national, and European matters</w:t>
      </w:r>
      <w:r w:rsidR="008C0B08" w:rsidRPr="00557367">
        <w:t xml:space="preserve">. </w:t>
      </w:r>
    </w:p>
    <w:p w14:paraId="08E4441F" w14:textId="36B5BDF5" w:rsidR="00433AB6" w:rsidRPr="00557367" w:rsidRDefault="001F1440" w:rsidP="00813421">
      <w:r w:rsidRPr="00557367">
        <w:t xml:space="preserve">Eurobarometer 73.4 </w:t>
      </w:r>
      <w:r w:rsidR="00833079" w:rsidRPr="00557367">
        <w:fldChar w:fldCharType="begin"/>
      </w:r>
      <w:r w:rsidR="00E40197" w:rsidRPr="00557367">
        <w:instrText xml:space="preserve"> ADDIN ZOTERO_ITEM CSL_CITATION {"citationID":"t1aUzCn6","properties":{"formattedCitation":"(European Commission, 2013, fieldwork: May 2010)","plainCitation":"(European Commission, 2013, fieldwork: May 2010)"},"citationItems":[{"id":397,"uris":["http://zotero.org/users/109723/items/F5DT7GQH"],"uri":["http://zotero.org/users/109723/items/F5DT7GQH"],"itemData":{"id":397,"type":"report","title":"Eurobarometer 73.4: Financial and Economic Crisis, the Future of the European Union, Globalization, and European Citizenship, May 2010: Version 1","source":"CrossRef","URL":"https://dbk.gesis.org/dbksearch/sdesc2.asp?no=5234&amp;db=e&amp;doi=10.4232/1.11479","shortTitle":"Eurobarometer 73.4","author":[{"literal":"European Commission"}],"issued":{"date-parts":[["2013",2,20]]},"accessed":{"date-parts":[["2015",1,25]]}},"suffix":", fieldwork: May 2010"}],"schema":"https://github.com/citation-style-language/schema/raw/master/csl-citation.json"} </w:instrText>
      </w:r>
      <w:r w:rsidR="00833079" w:rsidRPr="00557367">
        <w:fldChar w:fldCharType="separate"/>
      </w:r>
      <w:r w:rsidR="00F10CBD" w:rsidRPr="00557367">
        <w:t>(European Commission, 2013, fieldwork: May 2010)</w:t>
      </w:r>
      <w:r w:rsidR="00833079" w:rsidRPr="00557367">
        <w:fldChar w:fldCharType="end"/>
      </w:r>
      <w:r w:rsidR="00E01CC8" w:rsidRPr="00557367">
        <w:t xml:space="preserve">, </w:t>
      </w:r>
      <w:r w:rsidR="00C20EED" w:rsidRPr="00557367">
        <w:t xml:space="preserve">was selected among </w:t>
      </w:r>
      <w:r w:rsidR="00713933" w:rsidRPr="00557367">
        <w:t xml:space="preserve">possible </w:t>
      </w:r>
      <w:r w:rsidR="00DA7056" w:rsidRPr="00557367">
        <w:t xml:space="preserve">alternatives </w:t>
      </w:r>
      <w:r w:rsidR="00C20EED" w:rsidRPr="00557367">
        <w:t xml:space="preserve">since it </w:t>
      </w:r>
      <w:r w:rsidR="00D47DF8" w:rsidRPr="00557367">
        <w:t xml:space="preserve">featured questions that allowed </w:t>
      </w:r>
      <w:r w:rsidR="006A118C" w:rsidRPr="00557367">
        <w:t xml:space="preserve">testing </w:t>
      </w:r>
      <w:r w:rsidR="00713933" w:rsidRPr="00557367">
        <w:t xml:space="preserve">our </w:t>
      </w:r>
      <w:r w:rsidR="001000C0" w:rsidRPr="00557367">
        <w:t>hypotheses</w:t>
      </w:r>
      <w:r w:rsidR="00E031C1" w:rsidRPr="00557367">
        <w:t xml:space="preserve">. </w:t>
      </w:r>
      <w:r w:rsidR="00E01CC8" w:rsidRPr="00557367">
        <w:t>The survey was conducted in 31 European countries, namely all current member states of the European Union plus Turkey, Macedonia (FYROM) and Iceland.</w:t>
      </w:r>
      <w:r w:rsidR="005F733E" w:rsidRPr="00557367">
        <w:t xml:space="preserve"> </w:t>
      </w:r>
      <w:r w:rsidR="001000C0" w:rsidRPr="00557367">
        <w:t xml:space="preserve">We opted for keeping </w:t>
      </w:r>
      <w:r w:rsidR="00DA7056" w:rsidRPr="00557367">
        <w:t xml:space="preserve">the complete set of </w:t>
      </w:r>
      <w:r w:rsidR="001000C0" w:rsidRPr="00557367">
        <w:t xml:space="preserve">countries as we </w:t>
      </w:r>
      <w:r w:rsidR="0099136F">
        <w:t xml:space="preserve">want to test </w:t>
      </w:r>
      <w:r w:rsidR="00DA7056" w:rsidRPr="00557367">
        <w:t xml:space="preserve">our hypotheses </w:t>
      </w:r>
      <w:r w:rsidR="003D58FE" w:rsidRPr="00557367">
        <w:t xml:space="preserve">in </w:t>
      </w:r>
      <w:r w:rsidR="00713933" w:rsidRPr="00557367">
        <w:t xml:space="preserve">as </w:t>
      </w:r>
      <w:r w:rsidR="003D58FE" w:rsidRPr="00557367">
        <w:t xml:space="preserve">wide </w:t>
      </w:r>
      <w:r w:rsidR="00713933" w:rsidRPr="00557367">
        <w:t xml:space="preserve">a </w:t>
      </w:r>
      <w:r w:rsidR="003D58FE" w:rsidRPr="00557367">
        <w:t xml:space="preserve">set of </w:t>
      </w:r>
      <w:proofErr w:type="spellStart"/>
      <w:r w:rsidR="00BF4DDB" w:rsidRPr="00557367">
        <w:t>polities</w:t>
      </w:r>
      <w:proofErr w:type="spellEnd"/>
      <w:r w:rsidR="00713933" w:rsidRPr="00557367">
        <w:t xml:space="preserve"> as possible</w:t>
      </w:r>
      <w:r w:rsidR="001000C0" w:rsidRPr="00557367">
        <w:t xml:space="preserve">. </w:t>
      </w:r>
      <w:r w:rsidR="00DA7056" w:rsidRPr="00557367">
        <w:t xml:space="preserve">By </w:t>
      </w:r>
      <w:r w:rsidR="003D58FE" w:rsidRPr="00557367">
        <w:t>also including non-member-states</w:t>
      </w:r>
      <w:r w:rsidR="00DA7056" w:rsidRPr="00557367">
        <w:t xml:space="preserve">, we </w:t>
      </w:r>
      <w:r w:rsidR="00E44C45" w:rsidRPr="00557367">
        <w:t>expand</w:t>
      </w:r>
      <w:r w:rsidR="007D7328" w:rsidRPr="00557367">
        <w:t xml:space="preserve"> the range of economic development and political trajectories of countries</w:t>
      </w:r>
      <w:r w:rsidR="00DA7056" w:rsidRPr="00557367">
        <w:t>, which</w:t>
      </w:r>
      <w:r w:rsidR="00386208" w:rsidRPr="00557367">
        <w:t xml:space="preserve"> increases the </w:t>
      </w:r>
      <w:r w:rsidR="00713933" w:rsidRPr="00557367">
        <w:t xml:space="preserve">potential for generalization </w:t>
      </w:r>
      <w:r w:rsidR="00386208" w:rsidRPr="00557367">
        <w:t>of our findings</w:t>
      </w:r>
      <w:r w:rsidR="00DA7056" w:rsidRPr="00557367">
        <w:t>.</w:t>
      </w:r>
    </w:p>
    <w:p w14:paraId="08E44420" w14:textId="77777777" w:rsidR="00F77298" w:rsidRPr="00557367" w:rsidRDefault="00F77298" w:rsidP="00813421"/>
    <w:p w14:paraId="08E44421" w14:textId="532D9732" w:rsidR="00F10CBD" w:rsidRPr="00557367" w:rsidRDefault="00F10CBD" w:rsidP="00813421">
      <w:pPr>
        <w:ind w:firstLine="0"/>
      </w:pPr>
      <w:r w:rsidRPr="00557367">
        <w:t xml:space="preserve">[ TABLE 1 ABOUT </w:t>
      </w:r>
      <w:proofErr w:type="gramStart"/>
      <w:r w:rsidRPr="00557367">
        <w:t>HERE ]</w:t>
      </w:r>
      <w:proofErr w:type="gramEnd"/>
    </w:p>
    <w:p w14:paraId="08E44422" w14:textId="77777777" w:rsidR="00F77298" w:rsidRPr="00557367" w:rsidRDefault="00F77298" w:rsidP="00813421"/>
    <w:p w14:paraId="428845D1" w14:textId="681A5A20" w:rsidR="00100CBE" w:rsidRPr="00557367" w:rsidRDefault="00BF4DDB" w:rsidP="00813421">
      <w:r w:rsidRPr="00557367">
        <w:t xml:space="preserve">Our dependent variable is the profile of political discussion exhibited by respondents. </w:t>
      </w:r>
      <w:r w:rsidR="00E031C1" w:rsidRPr="00557367">
        <w:t xml:space="preserve">As </w:t>
      </w:r>
      <w:r w:rsidR="00F06808" w:rsidRPr="00557367">
        <w:t xml:space="preserve">we </w:t>
      </w:r>
      <w:r w:rsidR="00E76FD2" w:rsidRPr="00557367">
        <w:t xml:space="preserve">are interested in the </w:t>
      </w:r>
      <w:r w:rsidR="00D47DF8" w:rsidRPr="00557367">
        <w:t xml:space="preserve">interplay between </w:t>
      </w:r>
      <w:r w:rsidR="002728D8" w:rsidRPr="00557367">
        <w:t xml:space="preserve">the </w:t>
      </w:r>
      <w:r w:rsidR="00F52056" w:rsidRPr="00557367">
        <w:t xml:space="preserve">engagement towards </w:t>
      </w:r>
      <w:r w:rsidR="00E76FD2" w:rsidRPr="00557367">
        <w:t xml:space="preserve">local and national </w:t>
      </w:r>
      <w:r w:rsidR="00F52056" w:rsidRPr="00557367">
        <w:t xml:space="preserve">political </w:t>
      </w:r>
      <w:r w:rsidR="00D47DF8" w:rsidRPr="00557367">
        <w:t>matters</w:t>
      </w:r>
      <w:r w:rsidR="00F06808" w:rsidRPr="00557367">
        <w:t xml:space="preserve">, a new variable was generated based on the combination of the </w:t>
      </w:r>
      <w:r w:rsidR="00265BF6" w:rsidRPr="00557367">
        <w:t>values</w:t>
      </w:r>
      <w:r w:rsidRPr="00557367">
        <w:t xml:space="preserve"> of the variables about “local” and “national” political discussion</w:t>
      </w:r>
      <w:r w:rsidR="00283532" w:rsidRPr="00813421">
        <w:rPr>
          <w:rStyle w:val="FootnoteReference"/>
        </w:rPr>
        <w:footnoteReference w:id="2"/>
      </w:r>
      <w:r w:rsidR="00F06808" w:rsidRPr="00557367">
        <w:t>.</w:t>
      </w:r>
      <w:r w:rsidR="00433AB6" w:rsidRPr="00557367">
        <w:t xml:space="preserve"> </w:t>
      </w:r>
      <w:r w:rsidR="00844E48" w:rsidRPr="00557367">
        <w:t>We simplify the</w:t>
      </w:r>
      <w:r w:rsidR="00C82DD7" w:rsidRPr="00557367">
        <w:t xml:space="preserve"> range of outcomes</w:t>
      </w:r>
      <w:r w:rsidR="00844E48" w:rsidRPr="00557367">
        <w:t xml:space="preserve"> by aggregating </w:t>
      </w:r>
      <w:r w:rsidR="00D705BE" w:rsidRPr="00557367">
        <w:t xml:space="preserve">the </w:t>
      </w:r>
      <w:r w:rsidR="00844E48" w:rsidRPr="00557367">
        <w:t xml:space="preserve">nine possible </w:t>
      </w:r>
      <w:r w:rsidR="00366B5B" w:rsidRPr="00557367">
        <w:t xml:space="preserve">combinations </w:t>
      </w:r>
      <w:r w:rsidR="00844E48" w:rsidRPr="00557367">
        <w:t xml:space="preserve">into four </w:t>
      </w:r>
      <w:r w:rsidR="00FE56D1" w:rsidRPr="00557367">
        <w:rPr>
          <w:i/>
        </w:rPr>
        <w:t>profiles of engagement</w:t>
      </w:r>
      <w:r w:rsidR="00844E48" w:rsidRPr="00557367">
        <w:t xml:space="preserve"> (Table 1). “Disengaged” (“D”) </w:t>
      </w:r>
      <w:r w:rsidR="00C82DD7" w:rsidRPr="00557367">
        <w:t xml:space="preserve">respondents </w:t>
      </w:r>
      <w:r w:rsidR="00844E48" w:rsidRPr="00557367">
        <w:t xml:space="preserve">are those who never discuss </w:t>
      </w:r>
      <w:r w:rsidR="003D58FE" w:rsidRPr="00557367">
        <w:t xml:space="preserve">neither </w:t>
      </w:r>
      <w:r w:rsidR="00844E48" w:rsidRPr="00557367">
        <w:t xml:space="preserve">local </w:t>
      </w:r>
      <w:r w:rsidR="003D58FE" w:rsidRPr="00557367">
        <w:t>n</w:t>
      </w:r>
      <w:r w:rsidR="00844E48" w:rsidRPr="00557367">
        <w:t xml:space="preserve">or national political matters. If </w:t>
      </w:r>
      <w:r w:rsidR="00C82DD7" w:rsidRPr="00557367">
        <w:t xml:space="preserve">individuals </w:t>
      </w:r>
      <w:r w:rsidR="00844E48" w:rsidRPr="00557367">
        <w:t>report an identical frequency of discussion</w:t>
      </w:r>
      <w:r w:rsidR="00386208" w:rsidRPr="00557367">
        <w:t xml:space="preserve"> (for instance, by occasionally discussing local and national politics)</w:t>
      </w:r>
      <w:r w:rsidR="00844E48" w:rsidRPr="00557367">
        <w:t xml:space="preserve">, </w:t>
      </w:r>
      <w:r w:rsidR="00C82DD7" w:rsidRPr="00557367">
        <w:t xml:space="preserve">they are </w:t>
      </w:r>
      <w:r w:rsidR="00844E48" w:rsidRPr="00557367">
        <w:t xml:space="preserve">labelled as “equally engaged” (“E”). </w:t>
      </w:r>
      <w:r w:rsidR="00C82DD7" w:rsidRPr="00557367">
        <w:t xml:space="preserve">Respondents can be </w:t>
      </w:r>
      <w:r w:rsidR="00844E48" w:rsidRPr="00557367">
        <w:t>“more engaged in national discussion</w:t>
      </w:r>
      <w:r w:rsidR="00386208" w:rsidRPr="00557367">
        <w:t>s</w:t>
      </w:r>
      <w:r w:rsidR="00844E48" w:rsidRPr="00557367">
        <w:t xml:space="preserve">” (“N”) </w:t>
      </w:r>
      <w:r w:rsidR="002728D8" w:rsidRPr="00557367">
        <w:t>or</w:t>
      </w:r>
      <w:r w:rsidR="00C82DD7" w:rsidRPr="00557367">
        <w:t xml:space="preserve">, conversely, </w:t>
      </w:r>
      <w:r w:rsidR="00844E48" w:rsidRPr="00557367">
        <w:t>“more engaged in local discussion</w:t>
      </w:r>
      <w:r w:rsidR="00386208" w:rsidRPr="00557367">
        <w:t>s</w:t>
      </w:r>
      <w:r w:rsidR="00844E48" w:rsidRPr="00557367">
        <w:t>” (“L”)</w:t>
      </w:r>
      <w:r w:rsidR="00386208" w:rsidRPr="00557367">
        <w:t>, if they report participating in discussions about one of them more frequently</w:t>
      </w:r>
      <w:r w:rsidR="00844E48" w:rsidRPr="00557367">
        <w:t xml:space="preserve">. </w:t>
      </w:r>
      <w:r w:rsidR="0099136F">
        <w:t xml:space="preserve">Our goal is to </w:t>
      </w:r>
      <w:r w:rsidR="0099136F">
        <w:lastRenderedPageBreak/>
        <w:t xml:space="preserve">assess </w:t>
      </w:r>
      <w:r w:rsidR="00C82DD7" w:rsidRPr="00557367">
        <w:t xml:space="preserve">what makes individuals more likely to </w:t>
      </w:r>
      <w:r w:rsidR="004A70FE" w:rsidRPr="00557367">
        <w:t xml:space="preserve">fall </w:t>
      </w:r>
      <w:r w:rsidR="00C82DD7" w:rsidRPr="00557367">
        <w:t xml:space="preserve">in each of </w:t>
      </w:r>
      <w:r w:rsidR="004A70FE" w:rsidRPr="00557367">
        <w:t xml:space="preserve">the </w:t>
      </w:r>
      <w:r w:rsidR="00ED045A" w:rsidRPr="00557367">
        <w:t>profiles</w:t>
      </w:r>
      <w:r w:rsidR="003E0C3C" w:rsidRPr="00557367">
        <w:t xml:space="preserve">, and particularly in these last </w:t>
      </w:r>
      <w:r w:rsidR="004A70FE" w:rsidRPr="00557367">
        <w:t>two.</w:t>
      </w:r>
    </w:p>
    <w:p w14:paraId="737C0AB1" w14:textId="3EFD50B6" w:rsidR="00917411" w:rsidRPr="00557367" w:rsidRDefault="002728D8" w:rsidP="00813421">
      <w:r w:rsidRPr="00557367">
        <w:t xml:space="preserve">As </w:t>
      </w:r>
      <w:r w:rsidR="00871BC1" w:rsidRPr="00557367">
        <w:t>the</w:t>
      </w:r>
      <w:r w:rsidR="00DC171A" w:rsidRPr="00557367">
        <w:t xml:space="preserve"> </w:t>
      </w:r>
      <w:r w:rsidR="00844E48" w:rsidRPr="00557367">
        <w:t>dependent variable is categorical</w:t>
      </w:r>
      <w:r w:rsidR="006C68B9" w:rsidRPr="00557367">
        <w:t xml:space="preserve"> and non-ordered</w:t>
      </w:r>
      <w:r w:rsidR="004100B4" w:rsidRPr="00557367">
        <w:t xml:space="preserve">, </w:t>
      </w:r>
      <w:r w:rsidR="00F06808" w:rsidRPr="00557367">
        <w:t>a classical linear model is not</w:t>
      </w:r>
      <w:r w:rsidR="004100B4" w:rsidRPr="00557367">
        <w:t xml:space="preserve"> </w:t>
      </w:r>
      <w:r w:rsidR="00614F83" w:rsidRPr="00557367">
        <w:t>appropriate</w:t>
      </w:r>
      <w:r w:rsidR="00F06808" w:rsidRPr="00557367">
        <w:t xml:space="preserve">. </w:t>
      </w:r>
      <w:r w:rsidR="000D319A" w:rsidRPr="00557367">
        <w:t xml:space="preserve">The </w:t>
      </w:r>
      <w:r w:rsidR="00F2176E" w:rsidRPr="00557367">
        <w:t xml:space="preserve">responses </w:t>
      </w:r>
      <w:r w:rsidR="00844E48" w:rsidRPr="00557367">
        <w:t xml:space="preserve">are </w:t>
      </w:r>
      <w:r w:rsidR="000D319A" w:rsidRPr="00557367">
        <w:t xml:space="preserve">also </w:t>
      </w:r>
      <w:r w:rsidR="00F2176E" w:rsidRPr="00557367">
        <w:t xml:space="preserve">clustered </w:t>
      </w:r>
      <w:r w:rsidR="000D319A" w:rsidRPr="00557367">
        <w:t>at the country level</w:t>
      </w:r>
      <w:r w:rsidR="00614F83" w:rsidRPr="00557367">
        <w:t xml:space="preserve">, and </w:t>
      </w:r>
      <w:r w:rsidR="004100B4" w:rsidRPr="00557367">
        <w:t xml:space="preserve">two of </w:t>
      </w:r>
      <w:r w:rsidR="00614F83" w:rsidRPr="00557367">
        <w:t xml:space="preserve">the </w:t>
      </w:r>
      <w:r w:rsidR="00844E48" w:rsidRPr="00557367">
        <w:t>hypotheses</w:t>
      </w:r>
      <w:r w:rsidR="004100B4" w:rsidRPr="00557367">
        <w:t xml:space="preserve"> </w:t>
      </w:r>
      <w:r w:rsidR="008D64BD" w:rsidRPr="00557367">
        <w:t>are formulated</w:t>
      </w:r>
      <w:r w:rsidR="000D319A" w:rsidRPr="00557367">
        <w:t xml:space="preserve"> </w:t>
      </w:r>
      <w:r w:rsidR="00CD2D6E" w:rsidRPr="00557367">
        <w:t>accordingly</w:t>
      </w:r>
      <w:r w:rsidR="00F06808" w:rsidRPr="00557367">
        <w:t xml:space="preserve">. </w:t>
      </w:r>
      <w:r w:rsidR="008D64BD" w:rsidRPr="00557367">
        <w:t xml:space="preserve">We thus </w:t>
      </w:r>
      <w:r w:rsidR="000B0358" w:rsidRPr="00557367">
        <w:t xml:space="preserve">rely </w:t>
      </w:r>
      <w:r w:rsidR="004100B4" w:rsidRPr="00557367">
        <w:t xml:space="preserve">on </w:t>
      </w:r>
      <w:r w:rsidR="00F06808" w:rsidRPr="00557367">
        <w:t xml:space="preserve">a multilevel </w:t>
      </w:r>
      <w:r w:rsidR="004100B4" w:rsidRPr="00557367">
        <w:t xml:space="preserve">logistic </w:t>
      </w:r>
      <w:r w:rsidR="001C3C62" w:rsidRPr="00557367">
        <w:t>model</w:t>
      </w:r>
      <w:r w:rsidR="000B0358" w:rsidRPr="00557367">
        <w:t xml:space="preserve"> and</w:t>
      </w:r>
      <w:r w:rsidR="00863EDD" w:rsidRPr="00557367">
        <w:t xml:space="preserve"> </w:t>
      </w:r>
      <w:r w:rsidR="00DC171A" w:rsidRPr="00557367">
        <w:t>perform</w:t>
      </w:r>
      <w:r w:rsidR="001C3C62" w:rsidRPr="00557367">
        <w:t xml:space="preserve"> a series of contrasts</w:t>
      </w:r>
      <w:r w:rsidR="0011648C" w:rsidRPr="00557367">
        <w:t xml:space="preserve"> </w:t>
      </w:r>
      <w:r w:rsidR="00863EDD" w:rsidRPr="00557367">
        <w:t xml:space="preserve">in order to account for the non-binary nature of </w:t>
      </w:r>
      <w:r w:rsidR="00651229" w:rsidRPr="00557367">
        <w:t xml:space="preserve">the </w:t>
      </w:r>
      <w:r w:rsidR="00863EDD" w:rsidRPr="00557367">
        <w:t xml:space="preserve">response variable </w:t>
      </w:r>
      <w:r w:rsidR="00833079" w:rsidRPr="00557367">
        <w:fldChar w:fldCharType="begin"/>
      </w:r>
      <w:r w:rsidR="00E40197" w:rsidRPr="00557367">
        <w:instrText xml:space="preserve"> ADDIN ZOTERO_ITEM CSL_CITATION {"citationID":"2019fng6rn","properties":{"formattedCitation":"(Gelman and Hill, 2007, p. 124)","plainCitation":"(Gelman and Hill, 2007, p. 124)"},"citationItems":[{"id":350,"uris":["http://zotero.org/users/109723/items/DKXRKQXH"],"uri":["http://zotero.org/users/109723/items/DKXRKQXH"],"itemData":{"id":350,"type":"book","title":"Data analysis using regression and multilevel/hierarchical models","publisher":"Cambridge University Press","publisher-place":"Cambridge","source":"Open WorldCat","event-place":"Cambridge","abstract":"\"Data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throughout.\"--Publisher description.","ISBN":"0-521-86706-1","language":"English","author":[{"family":"Gelman","given":"Andrew"},{"family":"Hill","given":"Jennifer"}],"issued":{"date-parts":[["2007"]]}},"locator":"124"}],"schema":"https://github.com/citation-style-language/schema/raw/master/csl-citation.json"} </w:instrText>
      </w:r>
      <w:r w:rsidR="00833079" w:rsidRPr="00557367">
        <w:fldChar w:fldCharType="separate"/>
      </w:r>
      <w:r w:rsidR="00F10CBD" w:rsidRPr="00557367">
        <w:t>(Gelman and Hill, 2007, p. 124)</w:t>
      </w:r>
      <w:r w:rsidR="00833079" w:rsidRPr="00557367">
        <w:fldChar w:fldCharType="end"/>
      </w:r>
      <w:r w:rsidR="00B55708" w:rsidRPr="00557367">
        <w:t xml:space="preserve">. Since </w:t>
      </w:r>
      <w:r w:rsidR="00863EDD" w:rsidRPr="00557367">
        <w:t xml:space="preserve">the </w:t>
      </w:r>
      <w:r w:rsidR="006C68B9" w:rsidRPr="00557367">
        <w:t>dependent variable has four</w:t>
      </w:r>
      <w:r w:rsidR="006C68B9" w:rsidRPr="00557367">
        <w:rPr>
          <w:i/>
        </w:rPr>
        <w:t xml:space="preserve"> </w:t>
      </w:r>
      <w:r w:rsidR="006C68B9" w:rsidRPr="00557367">
        <w:t>possible</w:t>
      </w:r>
      <w:r w:rsidR="00B55708" w:rsidRPr="00557367">
        <w:rPr>
          <w:i/>
        </w:rPr>
        <w:t xml:space="preserve"> </w:t>
      </w:r>
      <w:r w:rsidR="00B55708" w:rsidRPr="00557367">
        <w:t xml:space="preserve">outcomes, we set three </w:t>
      </w:r>
      <w:r w:rsidR="000101AC" w:rsidRPr="00557367">
        <w:t xml:space="preserve">binomial </w:t>
      </w:r>
      <w:r w:rsidR="00B55708" w:rsidRPr="00557367">
        <w:t>contrasts, using the most frequent category</w:t>
      </w:r>
      <w:r w:rsidR="00CD2D6E" w:rsidRPr="00557367">
        <w:t xml:space="preserve"> of engagement profile</w:t>
      </w:r>
      <w:r w:rsidR="00B55708" w:rsidRPr="00557367">
        <w:t xml:space="preserve"> (“</w:t>
      </w:r>
      <w:r w:rsidR="00D87C2D" w:rsidRPr="00557367">
        <w:t>E: e</w:t>
      </w:r>
      <w:r w:rsidR="00B55708" w:rsidRPr="00557367">
        <w:t>qually interested”) as a base</w:t>
      </w:r>
      <w:r w:rsidR="008D64BD" w:rsidRPr="00557367">
        <w:t>line</w:t>
      </w:r>
      <w:r w:rsidR="00B55708" w:rsidRPr="00557367">
        <w:t xml:space="preserve"> against </w:t>
      </w:r>
      <w:r w:rsidR="004D4C9F" w:rsidRPr="00557367">
        <w:t xml:space="preserve">which </w:t>
      </w:r>
      <w:r w:rsidR="00B55708" w:rsidRPr="00557367">
        <w:t xml:space="preserve">the likelihood of </w:t>
      </w:r>
      <w:r w:rsidR="00651229" w:rsidRPr="00557367">
        <w:t xml:space="preserve">holding </w:t>
      </w:r>
      <w:r w:rsidR="00D87C2D" w:rsidRPr="00557367">
        <w:t>an</w:t>
      </w:r>
      <w:r w:rsidR="00B55708" w:rsidRPr="00557367">
        <w:t xml:space="preserve"> </w:t>
      </w:r>
      <w:r w:rsidR="006C68B9" w:rsidRPr="00557367">
        <w:t xml:space="preserve">alternative </w:t>
      </w:r>
      <w:r w:rsidR="00CD2D6E" w:rsidRPr="00557367">
        <w:t>profile (“</w:t>
      </w:r>
      <w:r w:rsidR="00D87C2D" w:rsidRPr="00557367">
        <w:t>D: D</w:t>
      </w:r>
      <w:r w:rsidR="00CD2D6E" w:rsidRPr="00557367">
        <w:t>isengaged”, “</w:t>
      </w:r>
      <w:r w:rsidR="00D87C2D" w:rsidRPr="00557367">
        <w:t xml:space="preserve">N: </w:t>
      </w:r>
      <w:r w:rsidR="00CD2D6E" w:rsidRPr="00557367">
        <w:t>more into national”, and “</w:t>
      </w:r>
      <w:r w:rsidR="00D87C2D" w:rsidRPr="00557367">
        <w:t xml:space="preserve">L: </w:t>
      </w:r>
      <w:r w:rsidR="00CD2D6E" w:rsidRPr="00557367">
        <w:t>more into local”)</w:t>
      </w:r>
      <w:r w:rsidR="00B55708" w:rsidRPr="00557367">
        <w:t xml:space="preserve"> is tested.</w:t>
      </w:r>
      <w:r w:rsidR="000101AC" w:rsidRPr="00557367">
        <w:t xml:space="preserve"> Overall, this procedure </w:t>
      </w:r>
      <w:r w:rsidR="00280129" w:rsidRPr="00557367">
        <w:t xml:space="preserve">is equivalent </w:t>
      </w:r>
      <w:r w:rsidR="000101AC" w:rsidRPr="00557367">
        <w:t xml:space="preserve">with </w:t>
      </w:r>
      <w:r w:rsidR="00FB3A91" w:rsidRPr="00557367">
        <w:t xml:space="preserve">performing </w:t>
      </w:r>
      <w:r w:rsidR="000101AC" w:rsidRPr="00557367">
        <w:t xml:space="preserve">a </w:t>
      </w:r>
      <w:r w:rsidR="00FB3A91" w:rsidRPr="00557367">
        <w:t>(</w:t>
      </w:r>
      <w:r w:rsidR="00280129" w:rsidRPr="00557367">
        <w:t>multilevel</w:t>
      </w:r>
      <w:r w:rsidR="00FB3A91" w:rsidRPr="00557367">
        <w:t>)</w:t>
      </w:r>
      <w:r w:rsidR="00280129" w:rsidRPr="00557367">
        <w:t xml:space="preserve"> </w:t>
      </w:r>
      <w:r w:rsidR="000101AC" w:rsidRPr="00557367">
        <w:t>multinomial logistic regression</w:t>
      </w:r>
      <w:r w:rsidR="00436A48" w:rsidRPr="00557367">
        <w:t xml:space="preserve"> </w:t>
      </w:r>
      <w:r w:rsidR="00436A48" w:rsidRPr="00557367">
        <w:fldChar w:fldCharType="begin"/>
      </w:r>
      <w:r w:rsidR="00436A48" w:rsidRPr="00557367">
        <w:instrText xml:space="preserve"> ADDIN ZOTERO_ITEM CSL_CITATION {"citationID":"7bjal872a","properties":{"formattedCitation":"(Begg and Gray, 1984)","plainCitation":"(Begg and Gray, 1984)"},"citationItems":[{"id":2679,"uris":["http://zotero.org/users/109723/items/PDZCAK2J"],"uri":["http://zotero.org/users/109723/items/PDZCAK2J"],"itemData":{"id":2679,"type":"article-journal","title":"Calculation of polychotomous logistic regression parameters using individualized regressions","container-title":"Biometrika","page":"11-18","volume":"71","issue":"1","source":"biomet.oxfordjournals.org","abstract":"The use of individualized logistic regression, in which a series of separate simple logistic regression analyses are performed as a replacement for polychotomous logistic regression, is studied. The asymptotic relative efficiencies of the individual parameter estimates are observed to be generally high, as are the efficiencies of predicted probability estimates and, to a somewhat lesser extent, joint tests of parameters from different regressions.","DOI":"10.1093/biomet/71.1.11","ISSN":"0006-3444, 1464-3510","journalAbbreviation":"Biometrika","language":"en","author":[{"family":"Begg","given":"Colin B."},{"family":"Gray","given":"Robert"}],"issued":{"date-parts":[["1984",1,4]]}}}],"schema":"https://github.com/citation-style-language/schema/raw/master/csl-citation.json"} </w:instrText>
      </w:r>
      <w:r w:rsidR="00436A48" w:rsidRPr="00557367">
        <w:fldChar w:fldCharType="separate"/>
      </w:r>
      <w:r w:rsidR="00436A48" w:rsidRPr="00557367">
        <w:t>(Begg and Gray, 1984)</w:t>
      </w:r>
      <w:r w:rsidR="00436A48" w:rsidRPr="00557367">
        <w:fldChar w:fldCharType="end"/>
      </w:r>
      <w:r w:rsidR="000101AC" w:rsidRPr="00557367">
        <w:t xml:space="preserve">, </w:t>
      </w:r>
      <w:r w:rsidR="009833B0" w:rsidRPr="00557367">
        <w:t xml:space="preserve">but relies </w:t>
      </w:r>
      <w:r w:rsidR="00280129" w:rsidRPr="00557367">
        <w:t xml:space="preserve">on less demanding </w:t>
      </w:r>
      <w:r w:rsidR="00917411" w:rsidRPr="00557367">
        <w:t>computation</w:t>
      </w:r>
      <w:r w:rsidR="009833B0" w:rsidRPr="00557367">
        <w:t>al</w:t>
      </w:r>
      <w:r w:rsidR="00917411" w:rsidRPr="00557367">
        <w:t xml:space="preserve"> routines.</w:t>
      </w:r>
      <w:r w:rsidR="00B55708" w:rsidRPr="00557367">
        <w:t xml:space="preserve"> </w:t>
      </w:r>
    </w:p>
    <w:p w14:paraId="24C734C9" w14:textId="67FDF9EE" w:rsidR="00F52056" w:rsidRPr="00557367" w:rsidRDefault="00F52056" w:rsidP="00813421">
      <w:r w:rsidRPr="00557367">
        <w:t xml:space="preserve">Independent variables at the individual and country level used in the model are summarised in Table 2. Hypothesis 1 will be tested using responses to a question about the type of community the respondent lives in: a rural area, a small/middle </w:t>
      </w:r>
      <w:r w:rsidR="009833B0" w:rsidRPr="00557367">
        <w:t xml:space="preserve">town </w:t>
      </w:r>
      <w:r w:rsidRPr="00557367">
        <w:t xml:space="preserve">or a big </w:t>
      </w:r>
      <w:r w:rsidR="009833B0" w:rsidRPr="00557367">
        <w:t>town</w:t>
      </w:r>
      <w:r w:rsidRPr="00557367">
        <w:t xml:space="preserve">. Our second hypothesis poses that individuals with higher levels of educational achievement and </w:t>
      </w:r>
      <w:r w:rsidR="0099136F">
        <w:t xml:space="preserve">with </w:t>
      </w:r>
      <w:r w:rsidRPr="00557367">
        <w:t xml:space="preserve">a higher </w:t>
      </w:r>
      <w:r w:rsidR="0099136F">
        <w:t xml:space="preserve">socioeconomic status </w:t>
      </w:r>
      <w:r w:rsidRPr="00557367">
        <w:t xml:space="preserve">shall engage more in discussions about national politics, whereas the reverse should hold for less-educated, lower status individuals. For the purpose of testing this we include variables about the age upon completion of </w:t>
      </w:r>
      <w:r w:rsidR="009833B0" w:rsidRPr="00557367">
        <w:t xml:space="preserve">education </w:t>
      </w:r>
      <w:r w:rsidRPr="00557367">
        <w:t xml:space="preserve">and self-placement in the socioeconomic ladder. Hypothesis 3 </w:t>
      </w:r>
      <w:proofErr w:type="gramStart"/>
      <w:r w:rsidRPr="00557367">
        <w:t>takes into account</w:t>
      </w:r>
      <w:proofErr w:type="gramEnd"/>
      <w:r w:rsidRPr="00557367">
        <w:t xml:space="preserve"> the organisational memberships of respondents in 12 types of organisations. These organisations were classified as either having a local, national or hybrid scope</w:t>
      </w:r>
      <w:r w:rsidR="00F16B0A" w:rsidRPr="00813421">
        <w:rPr>
          <w:rStyle w:val="FootnoteReference"/>
        </w:rPr>
        <w:footnoteReference w:id="3"/>
      </w:r>
      <w:r w:rsidRPr="00557367">
        <w:t xml:space="preserve">. </w:t>
      </w:r>
    </w:p>
    <w:p w14:paraId="157A5739" w14:textId="77777777" w:rsidR="00F52056" w:rsidRPr="00557367" w:rsidRDefault="00F52056" w:rsidP="00813421">
      <w:pPr>
        <w:ind w:firstLine="0"/>
      </w:pPr>
    </w:p>
    <w:p w14:paraId="1170D60A" w14:textId="77777777" w:rsidR="00F52056" w:rsidRPr="00557367" w:rsidRDefault="00F52056" w:rsidP="00813421">
      <w:pPr>
        <w:ind w:firstLine="0"/>
      </w:pPr>
      <w:r w:rsidRPr="00557367">
        <w:t xml:space="preserve">[ TABLE 2 ABOUT </w:t>
      </w:r>
      <w:proofErr w:type="gramStart"/>
      <w:r w:rsidRPr="00557367">
        <w:t>HERE ]</w:t>
      </w:r>
      <w:proofErr w:type="gramEnd"/>
    </w:p>
    <w:p w14:paraId="57E3A9FE" w14:textId="77777777" w:rsidR="0099136F" w:rsidRDefault="0099136F" w:rsidP="00813421"/>
    <w:p w14:paraId="354A665F" w14:textId="3B4D4BC9" w:rsidR="00F52056" w:rsidRPr="00557367" w:rsidRDefault="00F52056" w:rsidP="00813421">
      <w:r w:rsidRPr="00557367">
        <w:t xml:space="preserve">Hypotheses </w:t>
      </w:r>
      <w:r w:rsidR="009833B0" w:rsidRPr="00557367">
        <w:t xml:space="preserve">4 </w:t>
      </w:r>
      <w:r w:rsidRPr="00557367">
        <w:t xml:space="preserve">and </w:t>
      </w:r>
      <w:r w:rsidR="009833B0" w:rsidRPr="00557367">
        <w:t>5</w:t>
      </w:r>
      <w:r w:rsidRPr="00557367">
        <w:t xml:space="preserve"> are tested using country-level data. The 2010 figures of Gross Domestic Product per capita based on purchase power parity were obtained from the International Monetary Fund </w:t>
      </w:r>
      <w:r w:rsidRPr="00557367">
        <w:fldChar w:fldCharType="begin"/>
      </w:r>
      <w:r w:rsidRPr="00557367">
        <w:instrText xml:space="preserve"> ADDIN ZOTERO_ITEM CSL_CITATION {"citationID":"Ebmu7N9w","properties":{"formattedCitation":"(2014)","plainCitation":"(2014)"},"citationItems":[{"id":400,"uris":["http://zotero.org/users/109723/items/F5UNEC22"],"uri":["http://zotero.org/users/109723/items/F5UNEC22"],"itemData":{"id":400,"type":"webpage","title":"World Economic Outlook Database","genre":"http://www.imf.org/external/pubs/ft/weo/2014/02/weodata/index.aspx , accessed 2 March 2015","author":[{"family":"International Monetary Fund","given":""}],"issued":{"date-parts":[["2014"]]},"accessed":{"date-parts":[["2015",2,3]]}},"suppress-author":true}],"schema":"https://github.com/citation-style-language/schema/raw/master/csl-citation.json"} </w:instrText>
      </w:r>
      <w:r w:rsidRPr="00557367">
        <w:fldChar w:fldCharType="separate"/>
      </w:r>
      <w:r w:rsidRPr="00557367">
        <w:t>(2014)</w:t>
      </w:r>
      <w:r w:rsidRPr="00557367">
        <w:fldChar w:fldCharType="end"/>
      </w:r>
      <w:r w:rsidRPr="00557367">
        <w:t xml:space="preserve"> and transformed into the logarithmic scale. H4, about the impact of decentralization, is evaluated using the </w:t>
      </w:r>
      <w:r w:rsidR="009833B0" w:rsidRPr="00557367">
        <w:t>ratio</w:t>
      </w:r>
      <w:r w:rsidR="00651229" w:rsidRPr="00557367">
        <w:t xml:space="preserve"> </w:t>
      </w:r>
      <w:r w:rsidRPr="00557367">
        <w:t>of e</w:t>
      </w:r>
      <w:r w:rsidR="00651229" w:rsidRPr="00557367">
        <w:t xml:space="preserve">xpenditure by local authorities </w:t>
      </w:r>
      <w:r w:rsidR="00651229" w:rsidRPr="00557367">
        <w:rPr>
          <w:i/>
        </w:rPr>
        <w:t>vis-à-vis</w:t>
      </w:r>
      <w:r w:rsidR="00651229" w:rsidRPr="00557367">
        <w:t xml:space="preserve"> expenditures by the central government</w:t>
      </w:r>
      <w:r w:rsidRPr="00557367">
        <w:t xml:space="preserve">. We use this as a proxy for </w:t>
      </w:r>
      <w:r w:rsidRPr="00557367">
        <w:lastRenderedPageBreak/>
        <w:t xml:space="preserve">the relevance of local governments in respondents’ lives: </w:t>
      </w:r>
      <w:r w:rsidR="00651229" w:rsidRPr="00557367">
        <w:t xml:space="preserve">individuals </w:t>
      </w:r>
      <w:r w:rsidRPr="00557367">
        <w:t xml:space="preserve">from countries where local authorities spend more should be expected to be more affected by local level politics and therefore more likely to engage in discussions about it. </w:t>
      </w:r>
    </w:p>
    <w:p w14:paraId="5D2743DA" w14:textId="64742D19" w:rsidR="00FB3A91" w:rsidRPr="00557367" w:rsidRDefault="00FB3A91" w:rsidP="00813421">
      <w:r w:rsidRPr="00557367">
        <w:t xml:space="preserve">In order to </w:t>
      </w:r>
      <w:r w:rsidR="0099136F">
        <w:t xml:space="preserve">control </w:t>
      </w:r>
      <w:r w:rsidRPr="00557367">
        <w:t xml:space="preserve">other individual factors identified in the literature about we include </w:t>
      </w:r>
      <w:r w:rsidRPr="00557367">
        <w:rPr>
          <w:i/>
        </w:rPr>
        <w:t>gender</w:t>
      </w:r>
      <w:r w:rsidRPr="00557367">
        <w:t xml:space="preserve">, </w:t>
      </w:r>
      <w:r w:rsidRPr="00557367">
        <w:rPr>
          <w:i/>
        </w:rPr>
        <w:t>age</w:t>
      </w:r>
      <w:r w:rsidR="0099136F">
        <w:t xml:space="preserve"> and</w:t>
      </w:r>
      <w:r w:rsidRPr="00557367">
        <w:t xml:space="preserve"> </w:t>
      </w:r>
      <w:r w:rsidRPr="00557367">
        <w:rPr>
          <w:i/>
        </w:rPr>
        <w:t>occupation</w:t>
      </w:r>
      <w:r w:rsidRPr="00557367">
        <w:t xml:space="preserve"> as individual-level variables. Since there is research showing that women claim a higher level of interest in local politics, we can expect this to be reflected in their frequency of discussion. We also include age, to which a curvilinear (inverted-U) effect has been attributed in fostering (generalist) political engagement. Finally, we include a variable for occupation, with can have three responses: inactive, professional/managerial and manual worker. While we do not expect these two variables to play a significant role in nurturing engagement towards a specific jurisdictional scale at the expense of other, we include them in the equation in order to account for their eventual effects. </w:t>
      </w:r>
    </w:p>
    <w:p w14:paraId="6E025929" w14:textId="61BE3BD9" w:rsidR="0025424E" w:rsidRPr="00557367" w:rsidRDefault="0025424E" w:rsidP="00813421">
      <w:r w:rsidRPr="00557367">
        <w:t xml:space="preserve">The survey features 30,215 responses, of which complete data for the variables used in the model is available for 28,695 cases. The data analysis was carried out using R and the models were fitted using package </w:t>
      </w:r>
      <w:r w:rsidRPr="00557367">
        <w:rPr>
          <w:i/>
        </w:rPr>
        <w:t>lme4</w:t>
      </w:r>
      <w:r w:rsidRPr="00557367">
        <w:t xml:space="preserve"> </w:t>
      </w:r>
      <w:r w:rsidRPr="00557367">
        <w:fldChar w:fldCharType="begin"/>
      </w:r>
      <w:r w:rsidRPr="00557367">
        <w:instrText xml:space="preserve"> ADDIN ZOTERO_ITEM CSL_CITATION {"citationID":"p589qna4u","properties":{"formattedCitation":"(Bates et al., 2014)","plainCitation":"(Bates et al., 2014)"},"citationItems":[{"id":1603,"uris":["http://zotero.org/users/109723/items/JN3GQBNK"],"uri":["http://zotero.org/users/109723/items/JN3GQBNK"],"itemData":{"id":1603,"type":"book","title":"lme4: Linear mixed-effects models using Eigen and S4","version":"1.1-7","source":"R-Packages","abstract":"Fit linear and generalized linear mixed-effects models.\nThe models and their components are represented using S4 classes and\nmethods.  The core computational algorithms are implemented using the\nEigen C++ library for numerical linear algebra and RcppEigen \"glue\".","URL":"http://cran.r-project.org/web/packages/lme4/index.html","shortTitle":"lme4","author":[{"family":"Bates","given":"Douglas"},{"family":"Maechler","given":"Martin"},{"family":"Bolker","given":"Ben"},{"family":"Walker","given":"Steven"},{"family":"Christensen","given":"Rune Haubo Bojesen"},{"family":"Singmann","given":"Henrik"},{"family":"Dai","given":"Bin"}],"issued":{"date-parts":[["2014",7,19]]},"accessed":{"date-parts":[["2015",4,20]]}}}],"schema":"https://github.com/citation-style-language/schema/raw/master/csl-citation.json"} </w:instrText>
      </w:r>
      <w:r w:rsidRPr="00557367">
        <w:fldChar w:fldCharType="separate"/>
      </w:r>
      <w:r w:rsidRPr="00557367">
        <w:t>(Bates et al., 2014)</w:t>
      </w:r>
      <w:r w:rsidRPr="00557367">
        <w:fldChar w:fldCharType="end"/>
      </w:r>
      <w:r w:rsidRPr="00557367">
        <w:t xml:space="preserve">. </w:t>
      </w:r>
    </w:p>
    <w:p w14:paraId="08E44430" w14:textId="77777777" w:rsidR="00ED07E5" w:rsidRPr="00557367" w:rsidRDefault="00ED07E5" w:rsidP="00813421">
      <w:pPr>
        <w:ind w:left="142" w:firstLine="0"/>
      </w:pPr>
    </w:p>
    <w:p w14:paraId="08E44431" w14:textId="77777777" w:rsidR="008D3BE7" w:rsidRPr="00557367" w:rsidRDefault="00471518" w:rsidP="00813421">
      <w:pPr>
        <w:pStyle w:val="ListParagraph"/>
        <w:numPr>
          <w:ilvl w:val="0"/>
          <w:numId w:val="10"/>
        </w:numPr>
        <w:rPr>
          <w:b/>
        </w:rPr>
      </w:pPr>
      <w:r w:rsidRPr="00557367">
        <w:rPr>
          <w:b/>
        </w:rPr>
        <w:t>Results</w:t>
      </w:r>
    </w:p>
    <w:p w14:paraId="08E44432" w14:textId="36205715" w:rsidR="00FA1370" w:rsidRPr="00557367" w:rsidRDefault="00990CB2" w:rsidP="00813421">
      <w:pPr>
        <w:rPr>
          <w:lang w:eastAsia="pt-PT"/>
        </w:rPr>
      </w:pPr>
      <w:r w:rsidRPr="00557367">
        <w:t xml:space="preserve">Before </w:t>
      </w:r>
      <w:r w:rsidR="00865D6A" w:rsidRPr="00557367">
        <w:t xml:space="preserve">examining the performance of the </w:t>
      </w:r>
      <w:proofErr w:type="gramStart"/>
      <w:r w:rsidR="006C68B9" w:rsidRPr="00557367">
        <w:t>model</w:t>
      </w:r>
      <w:proofErr w:type="gramEnd"/>
      <w:r w:rsidR="00865D6A" w:rsidRPr="00557367">
        <w:t xml:space="preserve"> we </w:t>
      </w:r>
      <w:r w:rsidR="008D64BD" w:rsidRPr="00557367">
        <w:t xml:space="preserve">glance at the </w:t>
      </w:r>
      <w:r w:rsidR="00865D6A" w:rsidRPr="00557367">
        <w:t xml:space="preserve">distribution of </w:t>
      </w:r>
      <w:r w:rsidR="00CD2D6E" w:rsidRPr="00557367">
        <w:t xml:space="preserve">profiles of </w:t>
      </w:r>
      <w:r w:rsidR="002C3AB9" w:rsidRPr="00557367">
        <w:t xml:space="preserve">political </w:t>
      </w:r>
      <w:r w:rsidR="00CD2D6E" w:rsidRPr="00557367">
        <w:t>engagement</w:t>
      </w:r>
      <w:r w:rsidR="002C3AB9" w:rsidRPr="00557367">
        <w:t>, pooled</w:t>
      </w:r>
      <w:r w:rsidR="00CD2D6E" w:rsidRPr="00557367">
        <w:t xml:space="preserve"> (Table 3) and </w:t>
      </w:r>
      <w:r w:rsidR="0099136F">
        <w:t xml:space="preserve">within countries </w:t>
      </w:r>
      <w:r w:rsidR="008D64BD" w:rsidRPr="00557367">
        <w:t xml:space="preserve">(Figure 1). </w:t>
      </w:r>
      <w:r w:rsidR="0046718F" w:rsidRPr="00557367">
        <w:rPr>
          <w:lang w:eastAsia="pt-PT"/>
        </w:rPr>
        <w:t>A</w:t>
      </w:r>
      <w:r w:rsidR="00214AF8" w:rsidRPr="00557367">
        <w:rPr>
          <w:lang w:eastAsia="pt-PT"/>
        </w:rPr>
        <w:t xml:space="preserve"> </w:t>
      </w:r>
      <w:r w:rsidR="00CD2D6E" w:rsidRPr="00557367">
        <w:rPr>
          <w:lang w:eastAsia="pt-PT"/>
        </w:rPr>
        <w:t xml:space="preserve">robust </w:t>
      </w:r>
      <w:r w:rsidR="00214AF8" w:rsidRPr="00557367">
        <w:rPr>
          <w:lang w:eastAsia="pt-PT"/>
        </w:rPr>
        <w:t>degree of association</w:t>
      </w:r>
      <w:r w:rsidR="00474656" w:rsidRPr="00557367">
        <w:rPr>
          <w:lang w:eastAsia="pt-PT"/>
        </w:rPr>
        <w:t xml:space="preserve"> </w:t>
      </w:r>
      <w:r w:rsidR="0046718F" w:rsidRPr="00557367">
        <w:rPr>
          <w:lang w:eastAsia="pt-PT"/>
        </w:rPr>
        <w:t xml:space="preserve">exists between </w:t>
      </w:r>
      <w:r w:rsidR="00474656" w:rsidRPr="00557367">
        <w:rPr>
          <w:lang w:eastAsia="pt-PT"/>
        </w:rPr>
        <w:t xml:space="preserve">the </w:t>
      </w:r>
      <w:r w:rsidR="00FB3A91" w:rsidRPr="00557367">
        <w:rPr>
          <w:lang w:eastAsia="pt-PT"/>
        </w:rPr>
        <w:t>regularity of discussion about</w:t>
      </w:r>
      <w:r w:rsidR="00474656" w:rsidRPr="00557367">
        <w:rPr>
          <w:lang w:eastAsia="pt-PT"/>
        </w:rPr>
        <w:t xml:space="preserve"> both levels of politics</w:t>
      </w:r>
      <w:r w:rsidR="00471518" w:rsidRPr="00557367">
        <w:rPr>
          <w:lang w:eastAsia="pt-PT"/>
        </w:rPr>
        <w:t>, with around 73%</w:t>
      </w:r>
      <w:r w:rsidR="00474656" w:rsidRPr="00557367">
        <w:rPr>
          <w:lang w:eastAsia="pt-PT"/>
        </w:rPr>
        <w:t xml:space="preserve"> of respondents </w:t>
      </w:r>
      <w:r w:rsidR="00471518" w:rsidRPr="00557367">
        <w:rPr>
          <w:lang w:eastAsia="pt-PT"/>
        </w:rPr>
        <w:t xml:space="preserve">reporting </w:t>
      </w:r>
      <w:r w:rsidR="0005164A" w:rsidRPr="00557367">
        <w:rPr>
          <w:lang w:eastAsia="pt-PT"/>
        </w:rPr>
        <w:t xml:space="preserve">identical </w:t>
      </w:r>
      <w:r w:rsidR="005566F8" w:rsidRPr="00557367">
        <w:rPr>
          <w:lang w:eastAsia="pt-PT"/>
        </w:rPr>
        <w:t xml:space="preserve">frequencies: </w:t>
      </w:r>
      <w:r w:rsidR="00214AF8" w:rsidRPr="00557367">
        <w:rPr>
          <w:lang w:eastAsia="pt-PT"/>
        </w:rPr>
        <w:t xml:space="preserve">approximately 55% </w:t>
      </w:r>
      <w:r w:rsidR="00474656" w:rsidRPr="00557367">
        <w:rPr>
          <w:lang w:eastAsia="pt-PT"/>
        </w:rPr>
        <w:t xml:space="preserve">state </w:t>
      </w:r>
      <w:r w:rsidR="007D41E1" w:rsidRPr="00557367">
        <w:rPr>
          <w:lang w:eastAsia="pt-PT"/>
        </w:rPr>
        <w:t xml:space="preserve">that they </w:t>
      </w:r>
      <w:r w:rsidR="00214AF8" w:rsidRPr="00557367">
        <w:rPr>
          <w:lang w:eastAsia="pt-PT"/>
        </w:rPr>
        <w:t>occasional</w:t>
      </w:r>
      <w:r w:rsidR="0046718F" w:rsidRPr="00557367">
        <w:rPr>
          <w:lang w:eastAsia="pt-PT"/>
        </w:rPr>
        <w:t>ly</w:t>
      </w:r>
      <w:r w:rsidR="00214AF8" w:rsidRPr="00557367">
        <w:rPr>
          <w:lang w:eastAsia="pt-PT"/>
        </w:rPr>
        <w:t xml:space="preserve"> or frequent</w:t>
      </w:r>
      <w:r w:rsidR="0046718F" w:rsidRPr="00557367">
        <w:rPr>
          <w:lang w:eastAsia="pt-PT"/>
        </w:rPr>
        <w:t>ly</w:t>
      </w:r>
      <w:r w:rsidR="00214AF8" w:rsidRPr="00557367">
        <w:rPr>
          <w:lang w:eastAsia="pt-PT"/>
        </w:rPr>
        <w:t xml:space="preserve"> </w:t>
      </w:r>
      <w:r w:rsidR="007D41E1" w:rsidRPr="00557367">
        <w:rPr>
          <w:lang w:eastAsia="pt-PT"/>
        </w:rPr>
        <w:t xml:space="preserve">discuss </w:t>
      </w:r>
      <w:r w:rsidR="00214AF8" w:rsidRPr="00557367">
        <w:rPr>
          <w:lang w:eastAsia="pt-PT"/>
        </w:rPr>
        <w:t xml:space="preserve">both levels, while 18% </w:t>
      </w:r>
      <w:r w:rsidR="00474656" w:rsidRPr="00557367">
        <w:rPr>
          <w:lang w:eastAsia="pt-PT"/>
        </w:rPr>
        <w:t xml:space="preserve">report </w:t>
      </w:r>
      <w:r w:rsidR="00214AF8" w:rsidRPr="00557367">
        <w:rPr>
          <w:lang w:eastAsia="pt-PT"/>
        </w:rPr>
        <w:t>never discuss</w:t>
      </w:r>
      <w:r w:rsidR="00474656" w:rsidRPr="00557367">
        <w:rPr>
          <w:lang w:eastAsia="pt-PT"/>
        </w:rPr>
        <w:t>ing</w:t>
      </w:r>
      <w:r w:rsidR="00214AF8" w:rsidRPr="00557367">
        <w:rPr>
          <w:lang w:eastAsia="pt-PT"/>
        </w:rPr>
        <w:t xml:space="preserve"> </w:t>
      </w:r>
      <w:r w:rsidR="007D41E1" w:rsidRPr="00557367">
        <w:rPr>
          <w:lang w:eastAsia="pt-PT"/>
        </w:rPr>
        <w:t>n</w:t>
      </w:r>
      <w:r w:rsidR="00214AF8" w:rsidRPr="00557367">
        <w:rPr>
          <w:lang w:eastAsia="pt-PT"/>
        </w:rPr>
        <w:t>either of them</w:t>
      </w:r>
      <w:r w:rsidR="00471518" w:rsidRPr="00557367">
        <w:rPr>
          <w:lang w:eastAsia="pt-PT"/>
        </w:rPr>
        <w:t xml:space="preserve">. </w:t>
      </w:r>
      <w:r w:rsidR="002C3AB9" w:rsidRPr="00557367">
        <w:rPr>
          <w:lang w:eastAsia="pt-PT"/>
        </w:rPr>
        <w:t>T</w:t>
      </w:r>
      <w:r w:rsidR="00471518" w:rsidRPr="00557367">
        <w:rPr>
          <w:lang w:eastAsia="pt-PT"/>
        </w:rPr>
        <w:t xml:space="preserve">he reverse angle, </w:t>
      </w:r>
      <w:r w:rsidR="002C3AB9" w:rsidRPr="00557367">
        <w:rPr>
          <w:lang w:eastAsia="pt-PT"/>
        </w:rPr>
        <w:t>however</w:t>
      </w:r>
      <w:r w:rsidR="00471518" w:rsidRPr="00557367">
        <w:rPr>
          <w:lang w:eastAsia="pt-PT"/>
        </w:rPr>
        <w:t xml:space="preserve">, is </w:t>
      </w:r>
      <w:r w:rsidR="00214AF8" w:rsidRPr="00557367">
        <w:rPr>
          <w:lang w:eastAsia="pt-PT"/>
        </w:rPr>
        <w:t xml:space="preserve">that </w:t>
      </w:r>
      <w:r w:rsidR="00471518" w:rsidRPr="00557367">
        <w:rPr>
          <w:lang w:eastAsia="pt-PT"/>
        </w:rPr>
        <w:t xml:space="preserve">more than a quarter of respondents report </w:t>
      </w:r>
      <w:r w:rsidR="00FB3A91" w:rsidRPr="00557367">
        <w:rPr>
          <w:lang w:eastAsia="pt-PT"/>
        </w:rPr>
        <w:t xml:space="preserve">an </w:t>
      </w:r>
      <w:r w:rsidR="00474656" w:rsidRPr="00557367">
        <w:rPr>
          <w:lang w:eastAsia="pt-PT"/>
        </w:rPr>
        <w:t xml:space="preserve">unequal </w:t>
      </w:r>
      <w:r w:rsidR="00AD55DA" w:rsidRPr="00557367">
        <w:rPr>
          <w:lang w:eastAsia="pt-PT"/>
        </w:rPr>
        <w:t xml:space="preserve">likelihood </w:t>
      </w:r>
      <w:r w:rsidR="00545350" w:rsidRPr="00557367">
        <w:rPr>
          <w:lang w:eastAsia="pt-PT"/>
        </w:rPr>
        <w:t xml:space="preserve">of </w:t>
      </w:r>
      <w:r w:rsidR="0099136F">
        <w:rPr>
          <w:lang w:eastAsia="pt-PT"/>
        </w:rPr>
        <w:t xml:space="preserve">entertaining discussions </w:t>
      </w:r>
      <w:r w:rsidR="00FB3A91" w:rsidRPr="00557367">
        <w:rPr>
          <w:lang w:eastAsia="pt-PT"/>
        </w:rPr>
        <w:t xml:space="preserve">about </w:t>
      </w:r>
      <w:r w:rsidR="0099136F">
        <w:rPr>
          <w:lang w:eastAsia="pt-PT"/>
        </w:rPr>
        <w:t xml:space="preserve">the two </w:t>
      </w:r>
      <w:r w:rsidR="00AD55DA" w:rsidRPr="00557367">
        <w:rPr>
          <w:lang w:eastAsia="pt-PT"/>
        </w:rPr>
        <w:t>jurisdictional scales</w:t>
      </w:r>
      <w:r w:rsidR="00471518" w:rsidRPr="00557367">
        <w:rPr>
          <w:lang w:eastAsia="pt-PT"/>
        </w:rPr>
        <w:t xml:space="preserve">. </w:t>
      </w:r>
      <w:r w:rsidR="007D41E1" w:rsidRPr="00557367">
        <w:rPr>
          <w:lang w:eastAsia="pt-PT"/>
        </w:rPr>
        <w:t>T</w:t>
      </w:r>
      <w:r w:rsidR="00471518" w:rsidRPr="00557367">
        <w:rPr>
          <w:lang w:eastAsia="pt-PT"/>
        </w:rPr>
        <w:t xml:space="preserve">he proportion of those </w:t>
      </w:r>
      <w:r w:rsidR="003A2C0B" w:rsidRPr="00557367">
        <w:rPr>
          <w:lang w:eastAsia="pt-PT"/>
        </w:rPr>
        <w:t xml:space="preserve">in the sample </w:t>
      </w:r>
      <w:r w:rsidR="00471518" w:rsidRPr="00557367">
        <w:rPr>
          <w:lang w:eastAsia="pt-PT"/>
        </w:rPr>
        <w:t xml:space="preserve">reporting a higher interest in local politics </w:t>
      </w:r>
      <w:r w:rsidR="0046718F" w:rsidRPr="00557367">
        <w:rPr>
          <w:lang w:eastAsia="pt-PT"/>
        </w:rPr>
        <w:t xml:space="preserve">(14.4%) </w:t>
      </w:r>
      <w:r w:rsidR="00471518" w:rsidRPr="00557367">
        <w:rPr>
          <w:lang w:eastAsia="pt-PT"/>
        </w:rPr>
        <w:t>exceeds, even if by a small margin, those reporting a higher interest in national politics</w:t>
      </w:r>
      <w:r w:rsidR="006C68B9" w:rsidRPr="00557367">
        <w:rPr>
          <w:lang w:eastAsia="pt-PT"/>
        </w:rPr>
        <w:t xml:space="preserve"> (12.6%)</w:t>
      </w:r>
      <w:r w:rsidR="00471518" w:rsidRPr="00557367">
        <w:rPr>
          <w:lang w:eastAsia="pt-PT"/>
        </w:rPr>
        <w:t xml:space="preserve">. </w:t>
      </w:r>
      <w:r w:rsidR="00FA1370" w:rsidRPr="00557367">
        <w:rPr>
          <w:lang w:eastAsia="pt-PT"/>
        </w:rPr>
        <w:t xml:space="preserve">This </w:t>
      </w:r>
      <w:r w:rsidR="004D4C9F" w:rsidRPr="00557367">
        <w:rPr>
          <w:lang w:eastAsia="pt-PT"/>
        </w:rPr>
        <w:t xml:space="preserve">balance </w:t>
      </w:r>
      <w:r w:rsidR="002C3AB9" w:rsidRPr="00557367">
        <w:rPr>
          <w:lang w:eastAsia="pt-PT"/>
        </w:rPr>
        <w:t>between</w:t>
      </w:r>
      <w:r w:rsidR="00235F19" w:rsidRPr="00557367">
        <w:rPr>
          <w:lang w:eastAsia="pt-PT"/>
        </w:rPr>
        <w:t xml:space="preserve"> </w:t>
      </w:r>
      <w:r w:rsidR="00FB3A91" w:rsidRPr="00557367">
        <w:rPr>
          <w:lang w:eastAsia="pt-PT"/>
        </w:rPr>
        <w:t xml:space="preserve">the two </w:t>
      </w:r>
      <w:r w:rsidR="00235F19" w:rsidRPr="00557367">
        <w:rPr>
          <w:lang w:eastAsia="pt-PT"/>
        </w:rPr>
        <w:t xml:space="preserve">profiles </w:t>
      </w:r>
      <w:r w:rsidR="00FA1370" w:rsidRPr="00557367">
        <w:rPr>
          <w:lang w:eastAsia="pt-PT"/>
        </w:rPr>
        <w:t xml:space="preserve">is a </w:t>
      </w:r>
      <w:r w:rsidR="00545350" w:rsidRPr="00557367">
        <w:rPr>
          <w:lang w:eastAsia="pt-PT"/>
        </w:rPr>
        <w:t>noteworthy</w:t>
      </w:r>
      <w:r w:rsidR="00FA1370" w:rsidRPr="00557367">
        <w:rPr>
          <w:lang w:eastAsia="pt-PT"/>
        </w:rPr>
        <w:t xml:space="preserve"> </w:t>
      </w:r>
      <w:r w:rsidR="00545350" w:rsidRPr="00557367">
        <w:rPr>
          <w:lang w:eastAsia="pt-PT"/>
        </w:rPr>
        <w:t>finding in itself</w:t>
      </w:r>
      <w:r w:rsidR="00FA1370" w:rsidRPr="00557367">
        <w:rPr>
          <w:lang w:eastAsia="pt-PT"/>
        </w:rPr>
        <w:t>, as it signals that</w:t>
      </w:r>
      <w:r w:rsidR="00837C99" w:rsidRPr="00557367">
        <w:rPr>
          <w:lang w:eastAsia="pt-PT"/>
        </w:rPr>
        <w:t xml:space="preserve"> engagement with national political matters </w:t>
      </w:r>
      <w:r w:rsidR="007D41E1" w:rsidRPr="00557367">
        <w:rPr>
          <w:lang w:eastAsia="pt-PT"/>
        </w:rPr>
        <w:t xml:space="preserve">does not exceed involvement in </w:t>
      </w:r>
      <w:r w:rsidR="00837C99" w:rsidRPr="00557367">
        <w:rPr>
          <w:lang w:eastAsia="pt-PT"/>
        </w:rPr>
        <w:t xml:space="preserve">local </w:t>
      </w:r>
      <w:r w:rsidR="007D41E1" w:rsidRPr="00557367">
        <w:rPr>
          <w:lang w:eastAsia="pt-PT"/>
        </w:rPr>
        <w:t>affairs</w:t>
      </w:r>
      <w:r w:rsidR="00837C99" w:rsidRPr="00557367">
        <w:rPr>
          <w:lang w:eastAsia="pt-PT"/>
        </w:rPr>
        <w:t>.</w:t>
      </w:r>
    </w:p>
    <w:p w14:paraId="08E44433" w14:textId="77777777" w:rsidR="00F10CBD" w:rsidRPr="00557367" w:rsidRDefault="00F10CBD" w:rsidP="00813421"/>
    <w:p w14:paraId="08E44434" w14:textId="77777777" w:rsidR="00F10CBD" w:rsidRPr="00557367" w:rsidRDefault="00F10CBD" w:rsidP="00813421">
      <w:pPr>
        <w:rPr>
          <w:lang w:eastAsia="pt-PT"/>
        </w:rPr>
      </w:pPr>
      <w:r w:rsidRPr="00557367">
        <w:t>[</w:t>
      </w:r>
      <w:r w:rsidRPr="00557367">
        <w:rPr>
          <w:lang w:eastAsia="pt-PT"/>
        </w:rPr>
        <w:t>TABLE 3 ABOUT HERE]</w:t>
      </w:r>
    </w:p>
    <w:p w14:paraId="08E44435" w14:textId="77777777" w:rsidR="00F10CBD" w:rsidRPr="00557367" w:rsidRDefault="00F10CBD" w:rsidP="00813421">
      <w:pPr>
        <w:rPr>
          <w:lang w:eastAsia="pt-PT"/>
        </w:rPr>
      </w:pPr>
    </w:p>
    <w:p w14:paraId="08E44436" w14:textId="77777777" w:rsidR="00F10CBD" w:rsidRPr="00557367" w:rsidRDefault="00F10CBD" w:rsidP="00813421">
      <w:pPr>
        <w:rPr>
          <w:lang w:eastAsia="pt-PT"/>
        </w:rPr>
      </w:pPr>
      <w:r w:rsidRPr="00557367">
        <w:rPr>
          <w:lang w:eastAsia="pt-PT"/>
        </w:rPr>
        <w:t>[FIGURE 1 ABOUT HERE]</w:t>
      </w:r>
    </w:p>
    <w:p w14:paraId="08E44437" w14:textId="77777777" w:rsidR="00F10CBD" w:rsidRPr="00557367" w:rsidRDefault="00F10CBD" w:rsidP="00813421">
      <w:pPr>
        <w:rPr>
          <w:lang w:eastAsia="pt-PT"/>
        </w:rPr>
      </w:pPr>
    </w:p>
    <w:p w14:paraId="08E44438" w14:textId="44B74B91" w:rsidR="00357042" w:rsidRPr="00557367" w:rsidRDefault="00CD2D6E" w:rsidP="00813421">
      <w:r w:rsidRPr="00557367">
        <w:t xml:space="preserve">Similarly to van </w:t>
      </w:r>
      <w:proofErr w:type="spellStart"/>
      <w:r w:rsidRPr="00557367">
        <w:t>Deth</w:t>
      </w:r>
      <w:proofErr w:type="spellEnd"/>
      <w:r w:rsidRPr="00557367">
        <w:t xml:space="preserve"> and </w:t>
      </w:r>
      <w:proofErr w:type="spellStart"/>
      <w:r w:rsidRPr="00557367">
        <w:t>Elff</w:t>
      </w:r>
      <w:proofErr w:type="spellEnd"/>
      <w:r w:rsidRPr="00557367">
        <w:t xml:space="preserve"> </w:t>
      </w:r>
      <w:r w:rsidR="00833079" w:rsidRPr="00557367">
        <w:fldChar w:fldCharType="begin"/>
      </w:r>
      <w:r w:rsidR="00E40197" w:rsidRPr="00557367">
        <w:instrText xml:space="preserve"> ADDIN ZOTERO_ITEM CSL_CITATION {"citationID":"X3TvO93l","properties":{"formattedCitation":"(2004)","plainCitation":"(2004)"},"citationItems":[{"id":710,"uris":["http://zotero.org/users/109723/items/RRAEANFN"],"uri":["http://zotero.org/users/109723/items/RRAEANFN"],"itemData":{"id":710,"type":"article-journal","title":"Politicisation, economic development and political interest in Europe","container-title":"European Journal of Political Research","page":"477-508","volume":"43","issue":"3","source":"Wiley Online Library","abstract":"Abstract.  Political interest is usually depicted as an individual attribute that can be explained by referring to the resources and skills of citizens. The analyses presented here are based on a critical assessment of the explanatory power of these approaches in cross-national and longitudinal comparisons. A contextual model is presented emphasising the relevance of distinct degrees of politicisation and economic development in different societies in addition to traditional sociodemographic factors (education, date of birth and gender) at the microlevel. The resulting multilevel model combines both individual and contextual factors to explain the cross-national differences and changes in political involvement and apathy in Europe in the last three decades. The politicisation thesis, which states that the level of political interest among citizens is an increasing function of the relevance of societal and political arrangements in a society, is not supported by the empirical findings presented here. The most noteworthy conclusion is the remarkable disappearance of the impact of societal politicisation when the level of economic development of each country is included in multilevel models. The level of political interest, then, clearly depends on the level of economic development.","DOI":"10.1111/j.1475-6765.2004.00162.x","ISSN":"1475-6765","language":"en","author":[{"family":"Deth","given":"Jan","non-dropping-particle":"van"},{"family":"Elff","given":"Martin"}],"issued":{"date-parts":[["2004"]]}},"suppress-author":true}],"schema":"https://github.com/citation-style-language/schema/raw/master/csl-citation.json"} </w:instrText>
      </w:r>
      <w:r w:rsidR="00833079" w:rsidRPr="00557367">
        <w:fldChar w:fldCharType="separate"/>
      </w:r>
      <w:r w:rsidR="00F10CBD" w:rsidRPr="00557367">
        <w:t>(2004)</w:t>
      </w:r>
      <w:r w:rsidR="00833079" w:rsidRPr="00557367">
        <w:fldChar w:fldCharType="end"/>
      </w:r>
      <w:r w:rsidRPr="00557367">
        <w:t xml:space="preserve">, and Sanders and Bellucci </w:t>
      </w:r>
      <w:r w:rsidR="00833079" w:rsidRPr="00557367">
        <w:fldChar w:fldCharType="begin"/>
      </w:r>
      <w:r w:rsidR="00E40197" w:rsidRPr="00557367">
        <w:instrText xml:space="preserve"> ADDIN ZOTERO_ITEM CSL_CITATION {"citationID":"c3iJOksu","properties":{"formattedCitation":"(2012)","plainCitation":"(2012)"},"citationItems":[{"id":47,"uris":["http://zotero.org/users/109723/items/3IQ5AG3B"],"uri":["http://zotero.org/users/109723/items/3IQ5AG3B"],"itemData":{"id":47,"type":"chapter","title":"Informal Political Engagement in Europe, 1975–2007","container-title":"Citizens and the European Polity","publisher":"Oxford University Press","publisher-place":"Oxford","page":"39-64","source":"CrossRef","event-place":"Oxford","URL":"http://oxfordindex.oup.com/view/10.1093/acprof:oso/9780199602339.003.0003","ISBN":"978-0-19-960233-9","editor":[{"family":"Sanders","given":"David"},{"family":"Magalhães","given":"Pedro"},{"family":"Toka","given":"Gabor"}],"author":[{"family":"Sanders","given":"David"},{"family":"Bellucci","given":"Paolo"}],"issued":{"date-parts":[["2012",7,26]]},"accessed":{"date-parts":[["2015",2,5]]}},"suppress-author":true}],"schema":"https://github.com/citation-style-language/schema/raw/master/csl-citation.json"} </w:instrText>
      </w:r>
      <w:r w:rsidR="00833079" w:rsidRPr="00557367">
        <w:fldChar w:fldCharType="separate"/>
      </w:r>
      <w:r w:rsidR="00F10CBD" w:rsidRPr="00557367">
        <w:t>(2012)</w:t>
      </w:r>
      <w:r w:rsidR="00833079" w:rsidRPr="00557367">
        <w:fldChar w:fldCharType="end"/>
      </w:r>
      <w:r w:rsidRPr="00557367">
        <w:t xml:space="preserve"> we also find considerable levels of variation in </w:t>
      </w:r>
      <w:r w:rsidR="00B97961" w:rsidRPr="00557367">
        <w:t xml:space="preserve">political discussion </w:t>
      </w:r>
      <w:r w:rsidRPr="00557367">
        <w:t xml:space="preserve">across </w:t>
      </w:r>
      <w:r w:rsidR="007D41E1" w:rsidRPr="00557367">
        <w:t xml:space="preserve">countries </w:t>
      </w:r>
      <w:r w:rsidR="003545A3" w:rsidRPr="00557367">
        <w:rPr>
          <w:lang w:eastAsia="pt-PT"/>
        </w:rPr>
        <w:t>(Figure 1)</w:t>
      </w:r>
      <w:r w:rsidRPr="00557367">
        <w:t xml:space="preserve">. </w:t>
      </w:r>
      <w:r w:rsidR="003545A3" w:rsidRPr="00557367">
        <w:rPr>
          <w:lang w:eastAsia="pt-PT"/>
        </w:rPr>
        <w:t xml:space="preserve">Disengaged citizens are </w:t>
      </w:r>
      <w:r w:rsidR="007E3477" w:rsidRPr="00557367">
        <w:rPr>
          <w:lang w:eastAsia="pt-PT"/>
        </w:rPr>
        <w:t xml:space="preserve">typically </w:t>
      </w:r>
      <w:r w:rsidR="003545A3" w:rsidRPr="00557367">
        <w:rPr>
          <w:lang w:eastAsia="pt-PT"/>
        </w:rPr>
        <w:t>more abundant in Southern and East</w:t>
      </w:r>
      <w:r w:rsidR="00467B92">
        <w:rPr>
          <w:lang w:eastAsia="pt-PT"/>
        </w:rPr>
        <w:t>ern Europe and scarcer in North</w:t>
      </w:r>
      <w:r w:rsidR="00467B92" w:rsidRPr="00557367">
        <w:rPr>
          <w:lang w:eastAsia="pt-PT"/>
        </w:rPr>
        <w:t>-western</w:t>
      </w:r>
      <w:r w:rsidR="003545A3" w:rsidRPr="00557367">
        <w:rPr>
          <w:lang w:eastAsia="pt-PT"/>
        </w:rPr>
        <w:t xml:space="preserve"> Europe</w:t>
      </w:r>
      <w:r w:rsidR="00FB3A91" w:rsidRPr="00557367">
        <w:rPr>
          <w:lang w:eastAsia="pt-PT"/>
        </w:rPr>
        <w:t xml:space="preserve"> – Greece being an exception a</w:t>
      </w:r>
      <w:r w:rsidR="003545A3" w:rsidRPr="00557367">
        <w:rPr>
          <w:lang w:eastAsia="pt-PT"/>
        </w:rPr>
        <w:t xml:space="preserve">s </w:t>
      </w:r>
      <w:r w:rsidR="00B97961" w:rsidRPr="00557367">
        <w:rPr>
          <w:lang w:eastAsia="pt-PT"/>
        </w:rPr>
        <w:t xml:space="preserve">noted in prior research </w:t>
      </w:r>
      <w:r w:rsidR="00833079" w:rsidRPr="00557367">
        <w:rPr>
          <w:lang w:eastAsia="pt-PT"/>
        </w:rPr>
        <w:fldChar w:fldCharType="begin"/>
      </w:r>
      <w:r w:rsidR="00E40197" w:rsidRPr="00557367">
        <w:rPr>
          <w:lang w:eastAsia="pt-PT"/>
        </w:rPr>
        <w:instrText xml:space="preserve"> ADDIN ZOTERO_ITEM CSL_CITATION {"citationID":"QfZsBYHd","properties":{"formattedCitation":"(van Deth and Elff, 2004)","plainCitation":"(van Deth and Elff, 2004)"},"citationItems":[{"id":710,"uris":["http://zotero.org/users/109723/items/RRAEANFN"],"uri":["http://zotero.org/users/109723/items/RRAEANFN"],"itemData":{"id":710,"type":"article-journal","title":"Politicisation, economic development and political interest in Europe","container-title":"European Journal of Political Research","page":"477-508","volume":"43","issue":"3","source":"Wiley Online Library","abstract":"Abstract.  Political interest is usually depicted as an individual attribute that can be explained by referring to the resources and skills of citizens. The analyses presented here are based on a critical assessment of the explanatory power of these approaches in cross-national and longitudinal comparisons. A contextual model is presented emphasising the relevance of distinct degrees of politicisation and economic development in different societies in addition to traditional sociodemographic factors (education, date of birth and gender) at the microlevel. The resulting multilevel model combines both individual and contextual factors to explain the cross-national differences and changes in political involvement and apathy in Europe in the last three decades. The politicisation thesis, which states that the level of political interest among citizens is an increasing function of the relevance of societal and political arrangements in a society, is not supported by the empirical findings presented here. The most noteworthy conclusion is the remarkable disappearance of the impact of societal politicisation when the level of economic development of each country is included in multilevel models. The level of political interest, then, clearly depends on the level of economic development.","DOI":"10.1111/j.1475-6765.2004.00162.x","ISSN":"1475-6765","language":"en","author":[{"family":"Deth","given":"Jan","non-dropping-particle":"van"},{"family":"Elff","given":"Martin"}],"issued":{"date-parts":[["2004"]]}}}],"schema":"https://github.com/citation-style-language/schema/raw/master/csl-citation.json"} </w:instrText>
      </w:r>
      <w:r w:rsidR="00833079" w:rsidRPr="00557367">
        <w:rPr>
          <w:lang w:eastAsia="pt-PT"/>
        </w:rPr>
        <w:fldChar w:fldCharType="separate"/>
      </w:r>
      <w:r w:rsidR="00F10CBD" w:rsidRPr="00557367">
        <w:t>(van Deth and Elff, 2004)</w:t>
      </w:r>
      <w:r w:rsidR="00833079" w:rsidRPr="00557367">
        <w:rPr>
          <w:lang w:eastAsia="pt-PT"/>
        </w:rPr>
        <w:fldChar w:fldCharType="end"/>
      </w:r>
      <w:r w:rsidR="00FB3A91" w:rsidRPr="00557367">
        <w:rPr>
          <w:lang w:eastAsia="pt-PT"/>
        </w:rPr>
        <w:t xml:space="preserve">. </w:t>
      </w:r>
      <w:r w:rsidR="005F2AB9" w:rsidRPr="00557367">
        <w:rPr>
          <w:lang w:eastAsia="pt-PT"/>
        </w:rPr>
        <w:t>M</w:t>
      </w:r>
      <w:r w:rsidR="007E3477" w:rsidRPr="00557367">
        <w:rPr>
          <w:lang w:eastAsia="pt-PT"/>
        </w:rPr>
        <w:t xml:space="preserve">ost countries </w:t>
      </w:r>
      <w:r w:rsidR="005F2AB9" w:rsidRPr="00557367">
        <w:rPr>
          <w:lang w:eastAsia="pt-PT"/>
        </w:rPr>
        <w:t xml:space="preserve">replicate </w:t>
      </w:r>
      <w:r w:rsidR="007E3477" w:rsidRPr="00557367">
        <w:rPr>
          <w:lang w:eastAsia="pt-PT"/>
        </w:rPr>
        <w:t xml:space="preserve">the </w:t>
      </w:r>
      <w:r w:rsidR="005F2AB9" w:rsidRPr="00557367">
        <w:rPr>
          <w:lang w:eastAsia="pt-PT"/>
        </w:rPr>
        <w:t xml:space="preserve">global </w:t>
      </w:r>
      <w:r w:rsidR="007E3477" w:rsidRPr="00557367">
        <w:rPr>
          <w:lang w:eastAsia="pt-PT"/>
        </w:rPr>
        <w:t>pattern</w:t>
      </w:r>
      <w:r w:rsidR="00837C99" w:rsidRPr="00557367">
        <w:rPr>
          <w:lang w:eastAsia="pt-PT"/>
        </w:rPr>
        <w:t xml:space="preserve"> of </w:t>
      </w:r>
      <w:r w:rsidR="00FB3A91" w:rsidRPr="00557367">
        <w:rPr>
          <w:lang w:eastAsia="pt-PT"/>
        </w:rPr>
        <w:t xml:space="preserve">having </w:t>
      </w:r>
      <w:r w:rsidR="00395E11" w:rsidRPr="00557367">
        <w:rPr>
          <w:lang w:eastAsia="pt-PT"/>
        </w:rPr>
        <w:t>similar</w:t>
      </w:r>
      <w:r w:rsidR="007E3477" w:rsidRPr="00557367">
        <w:rPr>
          <w:lang w:eastAsia="pt-PT"/>
        </w:rPr>
        <w:t xml:space="preserve"> proportions of citizens who are more interested in local</w:t>
      </w:r>
      <w:r w:rsidR="00395E11" w:rsidRPr="00557367">
        <w:rPr>
          <w:lang w:eastAsia="pt-PT"/>
        </w:rPr>
        <w:t xml:space="preserve"> matters, on the one hand,</w:t>
      </w:r>
      <w:r w:rsidR="007E3477" w:rsidRPr="00557367">
        <w:rPr>
          <w:lang w:eastAsia="pt-PT"/>
        </w:rPr>
        <w:t xml:space="preserve"> and national politics</w:t>
      </w:r>
      <w:r w:rsidR="00395E11" w:rsidRPr="00557367">
        <w:rPr>
          <w:lang w:eastAsia="pt-PT"/>
        </w:rPr>
        <w:t>, on the other</w:t>
      </w:r>
      <w:r w:rsidR="007E3477" w:rsidRPr="00557367">
        <w:rPr>
          <w:lang w:eastAsia="pt-PT"/>
        </w:rPr>
        <w:t xml:space="preserve">. </w:t>
      </w:r>
      <w:r w:rsidR="00FB3A91" w:rsidRPr="00557367">
        <w:rPr>
          <w:lang w:eastAsia="pt-PT"/>
        </w:rPr>
        <w:t xml:space="preserve">It is also noteworthy that the proportion of individuals </w:t>
      </w:r>
      <w:r w:rsidR="00467B92">
        <w:rPr>
          <w:lang w:eastAsia="pt-PT"/>
        </w:rPr>
        <w:t xml:space="preserve">who are </w:t>
      </w:r>
      <w:r w:rsidR="00FB3A91" w:rsidRPr="00557367">
        <w:rPr>
          <w:lang w:eastAsia="pt-PT"/>
        </w:rPr>
        <w:t xml:space="preserve">more engaged with national politics shows higher variance across countries than the proportion of individuals </w:t>
      </w:r>
      <w:r w:rsidR="00467B92">
        <w:rPr>
          <w:lang w:eastAsia="pt-PT"/>
        </w:rPr>
        <w:t xml:space="preserve">who are </w:t>
      </w:r>
      <w:r w:rsidR="00FB3A91" w:rsidRPr="00557367">
        <w:rPr>
          <w:lang w:eastAsia="pt-PT"/>
        </w:rPr>
        <w:t xml:space="preserve">more engaged with local politics. As will be seen, this has direct implications for our fifth hypothesis. </w:t>
      </w:r>
      <w:r w:rsidR="007E3477" w:rsidRPr="00557367">
        <w:t>Still</w:t>
      </w:r>
      <w:r w:rsidRPr="00557367">
        <w:t xml:space="preserve">, </w:t>
      </w:r>
      <w:r w:rsidR="007E3477" w:rsidRPr="00557367">
        <w:t xml:space="preserve">the ratio </w:t>
      </w:r>
      <w:r w:rsidRPr="00557367">
        <w:t xml:space="preserve">is not </w:t>
      </w:r>
      <w:r w:rsidR="00474656" w:rsidRPr="00557367">
        <w:t>constant</w:t>
      </w:r>
      <w:r w:rsidRPr="00557367">
        <w:t>: in some countries interest in local politics is more widespread</w:t>
      </w:r>
      <w:r w:rsidR="007E3477" w:rsidRPr="00557367">
        <w:t xml:space="preserve"> (</w:t>
      </w:r>
      <w:r w:rsidR="005F2AB9" w:rsidRPr="00557367">
        <w:t xml:space="preserve">e.g. </w:t>
      </w:r>
      <w:r w:rsidR="00B97961" w:rsidRPr="00557367">
        <w:t xml:space="preserve">Croatia, Bulgaria or </w:t>
      </w:r>
      <w:r w:rsidR="007E3477" w:rsidRPr="00557367">
        <w:t>Italy)</w:t>
      </w:r>
      <w:r w:rsidRPr="00557367">
        <w:t xml:space="preserve">, while in others </w:t>
      </w:r>
      <w:r w:rsidR="007E3477" w:rsidRPr="00557367">
        <w:t>(</w:t>
      </w:r>
      <w:r w:rsidR="005F2AB9" w:rsidRPr="00557367">
        <w:t xml:space="preserve">e.g. </w:t>
      </w:r>
      <w:r w:rsidR="007E3477" w:rsidRPr="00557367">
        <w:t xml:space="preserve">Iceland, the Netherlands) </w:t>
      </w:r>
      <w:r w:rsidRPr="00557367">
        <w:t xml:space="preserve">the </w:t>
      </w:r>
      <w:r w:rsidR="00395E11" w:rsidRPr="00557367">
        <w:t>opposi</w:t>
      </w:r>
      <w:r w:rsidRPr="00557367">
        <w:t>te happens</w:t>
      </w:r>
      <w:r w:rsidR="00E9796E" w:rsidRPr="00557367">
        <w:rPr>
          <w:lang w:eastAsia="pt-PT"/>
        </w:rPr>
        <w:t>.</w:t>
      </w:r>
      <w:r w:rsidR="003545A3" w:rsidRPr="00557367">
        <w:rPr>
          <w:lang w:eastAsia="pt-PT"/>
        </w:rPr>
        <w:t xml:space="preserve"> </w:t>
      </w:r>
    </w:p>
    <w:p w14:paraId="08E44439" w14:textId="77777777" w:rsidR="00545350" w:rsidRPr="00557367" w:rsidRDefault="00545350" w:rsidP="00813421"/>
    <w:p w14:paraId="08E4443A" w14:textId="77777777" w:rsidR="00F10CBD" w:rsidRPr="00557367" w:rsidRDefault="00F10CBD" w:rsidP="00813421">
      <w:r w:rsidRPr="00557367">
        <w:t>[TABLE 4 ABOUT HERE]</w:t>
      </w:r>
    </w:p>
    <w:p w14:paraId="45A88B6B" w14:textId="77777777" w:rsidR="00352D14" w:rsidRPr="00557367" w:rsidRDefault="00352D14" w:rsidP="00813421"/>
    <w:p w14:paraId="08E4443B" w14:textId="77777777" w:rsidR="00F10CBD" w:rsidRPr="00557367" w:rsidRDefault="00F10CBD" w:rsidP="00813421">
      <w:pPr>
        <w:ind w:firstLine="0"/>
        <w:rPr>
          <w:b/>
          <w:sz w:val="22"/>
          <w:lang w:eastAsia="pt-PT"/>
        </w:rPr>
      </w:pPr>
    </w:p>
    <w:p w14:paraId="08E4443C" w14:textId="395EFC65" w:rsidR="00406BF1" w:rsidRPr="00557367" w:rsidRDefault="0091736B" w:rsidP="00813421">
      <w:pPr>
        <w:ind w:firstLine="708"/>
      </w:pPr>
      <w:r w:rsidRPr="00557367">
        <w:t xml:space="preserve">We now focus </w:t>
      </w:r>
      <w:r w:rsidR="00467B92">
        <w:t xml:space="preserve">on </w:t>
      </w:r>
      <w:r w:rsidR="00ED07E5" w:rsidRPr="00557367">
        <w:t xml:space="preserve">the results of </w:t>
      </w:r>
      <w:r w:rsidR="003B61A8" w:rsidRPr="00557367">
        <w:t>our</w:t>
      </w:r>
      <w:r w:rsidR="00ED07E5" w:rsidRPr="00557367">
        <w:t xml:space="preserve"> </w:t>
      </w:r>
      <w:r w:rsidR="00467B92">
        <w:t>statistical analysis</w:t>
      </w:r>
      <w:r w:rsidR="00ED07E5" w:rsidRPr="00557367">
        <w:t>. Table 4 reports the odds ratios</w:t>
      </w:r>
      <w:r w:rsidR="003B61A8" w:rsidRPr="00557367">
        <w:t xml:space="preserve"> </w:t>
      </w:r>
      <w:r w:rsidR="00ED18BA" w:rsidRPr="00557367">
        <w:t xml:space="preserve">for the three contrasts, </w:t>
      </w:r>
      <w:r w:rsidR="007D41E1" w:rsidRPr="00557367">
        <w:t xml:space="preserve">along with lower and upper bounds of their </w:t>
      </w:r>
      <w:r w:rsidR="000101AC" w:rsidRPr="00557367">
        <w:t xml:space="preserve">95% </w:t>
      </w:r>
      <w:r w:rsidR="007D41E1" w:rsidRPr="00557367">
        <w:t>confidence interval</w:t>
      </w:r>
      <w:r w:rsidR="00ED18BA" w:rsidRPr="00557367">
        <w:t>s</w:t>
      </w:r>
      <w:r w:rsidR="00ED07E5" w:rsidRPr="00557367">
        <w:t xml:space="preserve">. </w:t>
      </w:r>
      <w:r w:rsidR="005F2AB9" w:rsidRPr="00557367">
        <w:t>Each c</w:t>
      </w:r>
      <w:r w:rsidR="00ED07E5" w:rsidRPr="00557367">
        <w:t>olumn</w:t>
      </w:r>
      <w:r w:rsidR="005F2AB9" w:rsidRPr="00557367">
        <w:t xml:space="preserve"> from </w:t>
      </w:r>
      <w:r w:rsidR="006E0678" w:rsidRPr="00557367">
        <w:t>(1) to (3)</w:t>
      </w:r>
      <w:r w:rsidR="00ED07E5" w:rsidRPr="00557367">
        <w:t xml:space="preserve"> </w:t>
      </w:r>
      <w:r w:rsidR="004D4C9F" w:rsidRPr="00557367">
        <w:t>reproduce</w:t>
      </w:r>
      <w:r w:rsidR="005F2AB9" w:rsidRPr="00557367">
        <w:t>s</w:t>
      </w:r>
      <w:r w:rsidR="00624277" w:rsidRPr="00557367">
        <w:t xml:space="preserve"> results </w:t>
      </w:r>
      <w:r w:rsidR="00ED18BA" w:rsidRPr="00557367">
        <w:t xml:space="preserve">relative to </w:t>
      </w:r>
      <w:r w:rsidR="00624277" w:rsidRPr="00557367">
        <w:t>a contrast</w:t>
      </w:r>
      <w:r w:rsidR="00ED18BA" w:rsidRPr="00557367">
        <w:t xml:space="preserve"> </w:t>
      </w:r>
      <w:r w:rsidR="000101AC" w:rsidRPr="00557367">
        <w:t xml:space="preserve">between the baseline (“equally engaged”) and one of the alternative outcomes. </w:t>
      </w:r>
      <w:r w:rsidR="00ED07E5" w:rsidRPr="00557367">
        <w:t>The odds ratio</w:t>
      </w:r>
      <w:r w:rsidR="00624277" w:rsidRPr="00557367">
        <w:t>s</w:t>
      </w:r>
      <w:r w:rsidR="00ED07E5" w:rsidRPr="00557367">
        <w:t xml:space="preserve"> refer to the effect that a one unit change in </w:t>
      </w:r>
      <w:r w:rsidR="00624277" w:rsidRPr="00557367">
        <w:t xml:space="preserve">one of the independent variables </w:t>
      </w:r>
      <w:r w:rsidR="003B61A8" w:rsidRPr="00557367">
        <w:t xml:space="preserve">brings to </w:t>
      </w:r>
      <w:r w:rsidR="00ED07E5" w:rsidRPr="00557367">
        <w:t xml:space="preserve">the probability of moving from the baseline outcome “equally engaged” (“E”) towards </w:t>
      </w:r>
      <w:r w:rsidR="00837C99" w:rsidRPr="00557367">
        <w:t xml:space="preserve">one of </w:t>
      </w:r>
      <w:r w:rsidR="00ED07E5" w:rsidRPr="00557367">
        <w:t>the alternative outcome</w:t>
      </w:r>
      <w:r w:rsidR="00837C99" w:rsidRPr="00557367">
        <w:t>s</w:t>
      </w:r>
      <w:r w:rsidR="00ED07E5" w:rsidRPr="00557367">
        <w:t xml:space="preserve">: “disengaged” (“D”), “more engaged in national matters” (“N”), and “more engaged in local matters” (“L”). </w:t>
      </w:r>
      <w:r w:rsidR="007D41E1" w:rsidRPr="00557367">
        <w:t xml:space="preserve">For instance, </w:t>
      </w:r>
      <w:r w:rsidR="00624277" w:rsidRPr="00557367">
        <w:t>the odd ratios associated with the category “female” are 1.56, 0.86, and 1.19, respectively. In the</w:t>
      </w:r>
      <w:r w:rsidR="00AD55DA" w:rsidRPr="00557367">
        <w:t>se</w:t>
      </w:r>
      <w:r w:rsidR="00624277" w:rsidRPr="00557367">
        <w:t xml:space="preserve"> three cases, the 95% confidence intervals do not contain 0. </w:t>
      </w:r>
      <w:r w:rsidR="00B71482" w:rsidRPr="00557367">
        <w:t>Thus, a</w:t>
      </w:r>
      <w:r w:rsidR="00F36ADA" w:rsidRPr="00557367">
        <w:t xml:space="preserve">ccording to our results </w:t>
      </w:r>
      <w:r w:rsidR="00624277" w:rsidRPr="00557367">
        <w:t xml:space="preserve">women are </w:t>
      </w:r>
      <w:r w:rsidR="00ED18BA" w:rsidRPr="00557367">
        <w:t xml:space="preserve">considerably </w:t>
      </w:r>
      <w:r w:rsidR="00624277" w:rsidRPr="00557367">
        <w:t>more likely to fall in “D” and</w:t>
      </w:r>
      <w:r w:rsidR="00ED18BA" w:rsidRPr="00557367">
        <w:t xml:space="preserve"> more likely</w:t>
      </w:r>
      <w:r w:rsidR="00624277" w:rsidRPr="00557367">
        <w:t xml:space="preserve"> </w:t>
      </w:r>
      <w:r w:rsidR="00ED18BA" w:rsidRPr="00557367">
        <w:t xml:space="preserve">to fall in </w:t>
      </w:r>
      <w:r w:rsidR="00624277" w:rsidRPr="00557367">
        <w:t>“</w:t>
      </w:r>
      <w:r w:rsidR="00ED18BA" w:rsidRPr="00557367">
        <w:t>L</w:t>
      </w:r>
      <w:r w:rsidR="00624277" w:rsidRPr="00557367">
        <w:t>” as opposed to “</w:t>
      </w:r>
      <w:r w:rsidR="00ED18BA" w:rsidRPr="00557367">
        <w:t>E</w:t>
      </w:r>
      <w:r w:rsidR="00624277" w:rsidRPr="00557367">
        <w:t>”</w:t>
      </w:r>
      <w:r w:rsidR="00ED18BA" w:rsidRPr="00557367">
        <w:t xml:space="preserve"> and especially “N”</w:t>
      </w:r>
      <w:r w:rsidR="00624277" w:rsidRPr="00557367">
        <w:t>.</w:t>
      </w:r>
    </w:p>
    <w:p w14:paraId="6021854B" w14:textId="275AE7BE" w:rsidR="00B71482" w:rsidRPr="00557367" w:rsidRDefault="00B71482" w:rsidP="00813421">
      <w:pPr>
        <w:ind w:firstLine="708"/>
      </w:pPr>
      <w:r w:rsidRPr="00557367">
        <w:t>Before proceeding to the re</w:t>
      </w:r>
      <w:r w:rsidR="00AD55DA" w:rsidRPr="00557367">
        <w:t>sults in the second and third columns,</w:t>
      </w:r>
      <w:r w:rsidRPr="00557367">
        <w:t xml:space="preserve"> </w:t>
      </w:r>
      <w:r w:rsidR="00AD55DA" w:rsidRPr="00557367">
        <w:t>which are those of greater interest</w:t>
      </w:r>
      <w:r w:rsidR="008A274B" w:rsidRPr="00557367">
        <w:t xml:space="preserve"> </w:t>
      </w:r>
      <w:r w:rsidR="00ED18BA" w:rsidRPr="00557367">
        <w:t>given</w:t>
      </w:r>
      <w:r w:rsidR="008A274B" w:rsidRPr="00557367">
        <w:t xml:space="preserve"> our research question</w:t>
      </w:r>
      <w:r w:rsidR="00AD55DA" w:rsidRPr="00557367">
        <w:t xml:space="preserve">, </w:t>
      </w:r>
      <w:r w:rsidRPr="00557367">
        <w:t>we glance at the odd ratios reproduced in column (1)</w:t>
      </w:r>
      <w:r w:rsidR="008A274B" w:rsidRPr="00557367">
        <w:t xml:space="preserve">, assessing </w:t>
      </w:r>
      <w:r w:rsidRPr="00557367">
        <w:t xml:space="preserve">the impact of the tested variables in the </w:t>
      </w:r>
      <w:r w:rsidR="000D5F94" w:rsidRPr="00557367">
        <w:t xml:space="preserve">probability of being disengaged towards both levels of politics. Overall, the findings </w:t>
      </w:r>
      <w:r w:rsidRPr="00557367">
        <w:t xml:space="preserve">are in line with previous research about the </w:t>
      </w:r>
      <w:r w:rsidR="000D5F94" w:rsidRPr="00557367">
        <w:t xml:space="preserve">roots of </w:t>
      </w:r>
      <w:r w:rsidR="00AD55DA" w:rsidRPr="00557367">
        <w:t xml:space="preserve">generalist </w:t>
      </w:r>
      <w:r w:rsidR="000D5F94" w:rsidRPr="00557367">
        <w:t>political discussion</w:t>
      </w:r>
      <w:r w:rsidRPr="00557367">
        <w:t xml:space="preserve">. Higher socioeconomic status </w:t>
      </w:r>
      <w:r w:rsidRPr="00557367">
        <w:lastRenderedPageBreak/>
        <w:t>and more years of education, as well as being male, increase the likelihood of being equally engaged in both levels of politics rather than disengaged. The effect of age resembles a skewed</w:t>
      </w:r>
      <w:r w:rsidR="00D86B77" w:rsidRPr="00557367">
        <w:t xml:space="preserve"> and</w:t>
      </w:r>
      <w:r w:rsidRPr="00557367">
        <w:t xml:space="preserve"> inverted U-shape, with the age group more likely to be involved in politics being the 55-64 years segment. Being a member of multiple civil society organisations </w:t>
      </w:r>
      <w:r w:rsidR="008A274B" w:rsidRPr="00557367">
        <w:t xml:space="preserve">focused on the local level of politics also increases the likelihood of engaging in </w:t>
      </w:r>
      <w:r w:rsidRPr="00557367">
        <w:t>political discussion</w:t>
      </w:r>
      <w:r w:rsidR="008A274B" w:rsidRPr="00557367">
        <w:t xml:space="preserve"> as opposed to staying disengaged</w:t>
      </w:r>
      <w:r w:rsidRPr="00557367">
        <w:t xml:space="preserve">. Interestingly, the </w:t>
      </w:r>
      <w:r w:rsidR="00156A50" w:rsidRPr="00557367">
        <w:t>odd ratios</w:t>
      </w:r>
      <w:r w:rsidRPr="00557367">
        <w:t xml:space="preserve"> of </w:t>
      </w:r>
      <w:r w:rsidR="00D86B77" w:rsidRPr="00557367">
        <w:t>macro-</w:t>
      </w:r>
      <w:r w:rsidRPr="00557367">
        <w:t xml:space="preserve">level effects are </w:t>
      </w:r>
      <w:r w:rsidR="00156A50" w:rsidRPr="00557367">
        <w:t xml:space="preserve">near 1 </w:t>
      </w:r>
      <w:r w:rsidRPr="00557367">
        <w:t>and deprived of significance.</w:t>
      </w:r>
    </w:p>
    <w:p w14:paraId="4BE074BE" w14:textId="25E6B5D3" w:rsidR="00467B92" w:rsidRDefault="008A274B" w:rsidP="00813421">
      <w:r w:rsidRPr="00557367">
        <w:t>T</w:t>
      </w:r>
      <w:r w:rsidR="00156A50" w:rsidRPr="00557367">
        <w:t xml:space="preserve">he most interesting results </w:t>
      </w:r>
      <w:r w:rsidR="00467B92">
        <w:t xml:space="preserve">given our research question </w:t>
      </w:r>
      <w:r w:rsidR="00156A50" w:rsidRPr="00557367">
        <w:t xml:space="preserve">are those reproduced in columns (2) and (3), which present the odds ratios for the contrasts between the common baseline “E” and the outcomes “N” and “L”. When compared to the results of contrast (1), the odds ratios are closer to 1, suggesting that the </w:t>
      </w:r>
      <w:r w:rsidR="00B94956" w:rsidRPr="00557367">
        <w:t>explanatory variables</w:t>
      </w:r>
      <w:r w:rsidR="00156A50" w:rsidRPr="00557367">
        <w:t xml:space="preserve"> are less </w:t>
      </w:r>
      <w:r w:rsidR="00467B92">
        <w:t xml:space="preserve">powerful as predictors of moving </w:t>
      </w:r>
      <w:r w:rsidR="00156A50" w:rsidRPr="00557367">
        <w:t>from the baseline to the alternative outcome</w:t>
      </w:r>
      <w:r w:rsidR="00467B92">
        <w:t>s</w:t>
      </w:r>
      <w:r w:rsidR="00156A50" w:rsidRPr="00557367">
        <w:t xml:space="preserve">. </w:t>
      </w:r>
    </w:p>
    <w:p w14:paraId="165D1554" w14:textId="1009DD2E" w:rsidR="00D86B77" w:rsidRPr="00557367" w:rsidRDefault="00437693" w:rsidP="00813421">
      <w:r w:rsidRPr="00557367">
        <w:t xml:space="preserve">In order to improve the </w:t>
      </w:r>
      <w:r w:rsidR="005F2AB9" w:rsidRPr="00557367">
        <w:t xml:space="preserve">interpretability </w:t>
      </w:r>
      <w:r w:rsidRPr="00557367">
        <w:t>of the</w:t>
      </w:r>
      <w:r w:rsidR="005F2AB9" w:rsidRPr="00557367">
        <w:t xml:space="preserve"> </w:t>
      </w:r>
      <w:r w:rsidRPr="00557367">
        <w:t xml:space="preserve">results, the plots reproduced in Figure 2 illustrate </w:t>
      </w:r>
      <w:r w:rsidR="00B33FC5" w:rsidRPr="00557367">
        <w:t xml:space="preserve">the </w:t>
      </w:r>
      <w:r w:rsidR="00752FFD">
        <w:t xml:space="preserve">effect of </w:t>
      </w:r>
      <w:r w:rsidR="00CB5978">
        <w:t xml:space="preserve">changes in the independent </w:t>
      </w:r>
      <w:r w:rsidR="00B33FC5" w:rsidRPr="00557367">
        <w:t xml:space="preserve">variables </w:t>
      </w:r>
      <w:r w:rsidR="00CB5978">
        <w:t>of interest</w:t>
      </w:r>
      <w:r w:rsidRPr="00557367">
        <w:t xml:space="preserve">. </w:t>
      </w:r>
      <w:r w:rsidR="00156A50" w:rsidRPr="00557367">
        <w:t>F</w:t>
      </w:r>
      <w:r w:rsidR="00F36ADA" w:rsidRPr="00557367">
        <w:t xml:space="preserve">igure </w:t>
      </w:r>
      <w:r w:rsidR="00156A50" w:rsidRPr="00557367">
        <w:t xml:space="preserve">2 </w:t>
      </w:r>
      <w:r w:rsidR="00F36ADA" w:rsidRPr="00557367">
        <w:t xml:space="preserve">focuses on </w:t>
      </w:r>
      <w:r w:rsidR="00156A50" w:rsidRPr="00557367">
        <w:t xml:space="preserve">just </w:t>
      </w:r>
      <w:r w:rsidR="00F36ADA" w:rsidRPr="00557367">
        <w:t xml:space="preserve">two of the alternatives to the baseline, “N” and “L”, leaving aside the predicted probabilities </w:t>
      </w:r>
      <w:r w:rsidR="00B71482" w:rsidRPr="00557367">
        <w:t xml:space="preserve">of </w:t>
      </w:r>
      <w:r w:rsidR="00F36ADA" w:rsidRPr="00557367">
        <w:t xml:space="preserve">being disengaged towards both levels of politics. </w:t>
      </w:r>
      <w:r w:rsidRPr="00557367">
        <w:t xml:space="preserve">Each plot </w:t>
      </w:r>
      <w:r w:rsidR="00F36ADA" w:rsidRPr="00557367">
        <w:t xml:space="preserve">within the figure </w:t>
      </w:r>
      <w:r w:rsidRPr="00557367">
        <w:t xml:space="preserve">shows the predicted probability of </w:t>
      </w:r>
      <w:r w:rsidR="00F36ADA" w:rsidRPr="00557367">
        <w:t xml:space="preserve">moving </w:t>
      </w:r>
      <w:r w:rsidR="00B71482" w:rsidRPr="00557367">
        <w:t xml:space="preserve">from the baseline “E” </w:t>
      </w:r>
      <w:r w:rsidR="00F36ADA" w:rsidRPr="00557367">
        <w:t xml:space="preserve">towards </w:t>
      </w:r>
      <w:r w:rsidR="00B71482" w:rsidRPr="00557367">
        <w:t xml:space="preserve">one of </w:t>
      </w:r>
      <w:r w:rsidR="00F36ADA" w:rsidRPr="00557367">
        <w:t xml:space="preserve">the </w:t>
      </w:r>
      <w:r w:rsidRPr="00557367">
        <w:t xml:space="preserve">outcomes </w:t>
      </w:r>
      <w:r w:rsidR="00F36ADA" w:rsidRPr="00557367">
        <w:t xml:space="preserve">“N” and “L”, given the values </w:t>
      </w:r>
      <w:r w:rsidR="00467B92">
        <w:t xml:space="preserve">for the independent variables </w:t>
      </w:r>
      <w:r w:rsidR="00F36ADA" w:rsidRPr="00557367">
        <w:t xml:space="preserve">expressed in the horizontal axis, while holding the remaining </w:t>
      </w:r>
      <w:r w:rsidR="00B71482" w:rsidRPr="00557367">
        <w:t xml:space="preserve">variables </w:t>
      </w:r>
      <w:r w:rsidR="00F36ADA" w:rsidRPr="00557367">
        <w:t xml:space="preserve">at their mean value. </w:t>
      </w:r>
      <w:r w:rsidR="00D86B77" w:rsidRPr="00557367">
        <w:t>In order to present a</w:t>
      </w:r>
      <w:r w:rsidR="00467B92">
        <w:t xml:space="preserve"> sensible </w:t>
      </w:r>
      <w:proofErr w:type="gramStart"/>
      <w:r w:rsidR="00D86B77" w:rsidRPr="00557367">
        <w:t>probability</w:t>
      </w:r>
      <w:proofErr w:type="gramEnd"/>
      <w:r w:rsidR="00D86B77" w:rsidRPr="00557367">
        <w:t xml:space="preserve"> </w:t>
      </w:r>
      <w:r w:rsidR="00467B92">
        <w:t xml:space="preserve">estimate we must take into account that </w:t>
      </w:r>
      <w:r w:rsidR="00D86B77" w:rsidRPr="00557367">
        <w:t xml:space="preserve">the </w:t>
      </w:r>
      <w:r w:rsidR="00467B92">
        <w:t xml:space="preserve">sum of probabilities for the </w:t>
      </w:r>
      <w:r w:rsidR="00D86B77" w:rsidRPr="00557367">
        <w:t xml:space="preserve">four possible outcomes </w:t>
      </w:r>
      <w:r w:rsidR="00467B92">
        <w:t xml:space="preserve">must </w:t>
      </w:r>
      <w:r w:rsidR="00D86B77" w:rsidRPr="00557367">
        <w:t>add up to 1</w:t>
      </w:r>
      <w:r w:rsidR="00467B92">
        <w:t>.</w:t>
      </w:r>
      <w:r w:rsidR="00D86B77" w:rsidRPr="00557367">
        <w:t xml:space="preserve"> </w:t>
      </w:r>
      <w:r w:rsidR="00467B92">
        <w:t xml:space="preserve">Thus, </w:t>
      </w:r>
      <w:r w:rsidR="00D86B77" w:rsidRPr="00557367">
        <w:t xml:space="preserve">each estimated value is multiplied by the proportion of individuals in each contrast relative to the overall sample. </w:t>
      </w:r>
    </w:p>
    <w:p w14:paraId="08E4443D" w14:textId="0FDDA5FF" w:rsidR="00437693" w:rsidRPr="00557367" w:rsidRDefault="00F36ADA" w:rsidP="00813421">
      <w:r w:rsidRPr="00557367">
        <w:t xml:space="preserve">Each line (in the case of continuous variables) and point (in the case of </w:t>
      </w:r>
      <w:r w:rsidR="00B71482" w:rsidRPr="00557367">
        <w:t>categorical</w:t>
      </w:r>
      <w:r w:rsidR="00B33FC5" w:rsidRPr="00557367">
        <w:t xml:space="preserve"> variables</w:t>
      </w:r>
      <w:r w:rsidRPr="00557367">
        <w:t xml:space="preserve">) is </w:t>
      </w:r>
      <w:r w:rsidR="00467B92">
        <w:t xml:space="preserve">supplemented </w:t>
      </w:r>
      <w:r w:rsidRPr="00557367">
        <w:t xml:space="preserve">by a 95% confidence interval. </w:t>
      </w:r>
      <w:r w:rsidR="00437693" w:rsidRPr="00557367">
        <w:t xml:space="preserve">A positive slope </w:t>
      </w:r>
      <w:r w:rsidR="00B71482" w:rsidRPr="00557367">
        <w:t xml:space="preserve">indicates </w:t>
      </w:r>
      <w:r w:rsidR="00437693" w:rsidRPr="00557367">
        <w:t xml:space="preserve">a positive relationship between an increase in the value of the independent variable value and the probability of moving from the baseline response (“E”) towards the alternative outcome (“N”, or “L”). Since in all of the three contrasts the binomial distribution is skewed towards “E”, the range of predicted probabilities is </w:t>
      </w:r>
      <w:r w:rsidRPr="00557367">
        <w:t xml:space="preserve">relatively </w:t>
      </w:r>
      <w:r w:rsidR="00437693" w:rsidRPr="00557367">
        <w:t xml:space="preserve">narrow. However, the proportions of “E” are roughly equivalent across the </w:t>
      </w:r>
      <w:r w:rsidRPr="00557367">
        <w:t xml:space="preserve">two </w:t>
      </w:r>
      <w:r w:rsidR="00437693" w:rsidRPr="00557367">
        <w:t xml:space="preserve">contrasts, </w:t>
      </w:r>
      <w:r w:rsidR="005F2AB9" w:rsidRPr="00557367">
        <w:t xml:space="preserve">which contributes to the </w:t>
      </w:r>
      <w:r w:rsidR="00437693" w:rsidRPr="00557367">
        <w:t>comparability between coefficients</w:t>
      </w:r>
      <w:r w:rsidR="00B71482" w:rsidRPr="00557367">
        <w:t xml:space="preserve"> and predicted probabilities</w:t>
      </w:r>
      <w:r w:rsidR="00437693" w:rsidRPr="00557367">
        <w:t xml:space="preserve">. </w:t>
      </w:r>
    </w:p>
    <w:p w14:paraId="08E4443E" w14:textId="77777777" w:rsidR="00AD2DBB" w:rsidRPr="00557367" w:rsidRDefault="00AD2DBB" w:rsidP="00813421">
      <w:pPr>
        <w:ind w:firstLine="708"/>
      </w:pPr>
    </w:p>
    <w:p w14:paraId="08E4443F" w14:textId="77777777" w:rsidR="00AD2DBB" w:rsidRPr="00557367" w:rsidRDefault="00AD2DBB" w:rsidP="00813421">
      <w:pPr>
        <w:ind w:firstLine="708"/>
      </w:pPr>
      <w:r w:rsidRPr="00557367">
        <w:t xml:space="preserve">[ FIGURE 2 ABOUT </w:t>
      </w:r>
      <w:proofErr w:type="gramStart"/>
      <w:r w:rsidRPr="00557367">
        <w:t>HERE ]</w:t>
      </w:r>
      <w:proofErr w:type="gramEnd"/>
    </w:p>
    <w:p w14:paraId="1CA18264" w14:textId="77777777" w:rsidR="005F2AB9" w:rsidRPr="00557367" w:rsidRDefault="005F2AB9" w:rsidP="00813421">
      <w:pPr>
        <w:ind w:firstLine="708"/>
      </w:pPr>
    </w:p>
    <w:p w14:paraId="08E44442" w14:textId="4F8094F8" w:rsidR="00DD0AA8" w:rsidRPr="00557367" w:rsidRDefault="00DD0AA8" w:rsidP="00813421">
      <w:r w:rsidRPr="00557367">
        <w:lastRenderedPageBreak/>
        <w:t>Our first hypothesis</w:t>
      </w:r>
      <w:r w:rsidR="00437693" w:rsidRPr="00557367">
        <w:t xml:space="preserve"> </w:t>
      </w:r>
      <w:r w:rsidR="00B33FC5" w:rsidRPr="00557367">
        <w:t xml:space="preserve">posits </w:t>
      </w:r>
      <w:r w:rsidR="00AF67C5" w:rsidRPr="00557367">
        <w:t xml:space="preserve">that inhabitants from different types of communities would show different degrees of engagement towards different territorial levels. </w:t>
      </w:r>
      <w:r w:rsidR="00467B92">
        <w:t>T</w:t>
      </w:r>
      <w:r w:rsidR="002F3AB0" w:rsidRPr="00557367">
        <w:t xml:space="preserve">he plotted probabilities in Figure </w:t>
      </w:r>
      <w:r w:rsidR="00B662CD" w:rsidRPr="00557367">
        <w:t>2</w:t>
      </w:r>
      <w:r w:rsidR="002F3AB0" w:rsidRPr="00557367">
        <w:t xml:space="preserve"> </w:t>
      </w:r>
      <w:r w:rsidR="00467B92">
        <w:t xml:space="preserve">show </w:t>
      </w:r>
      <w:r w:rsidR="002F3AB0" w:rsidRPr="00557367">
        <w:t xml:space="preserve">that living in a rural area </w:t>
      </w:r>
      <w:r w:rsidR="00156A50" w:rsidRPr="00557367">
        <w:t xml:space="preserve">is a useful </w:t>
      </w:r>
      <w:r w:rsidR="002F3AB0" w:rsidRPr="00557367">
        <w:t xml:space="preserve">predictor of the type of discussions individuals engage with. In the contrast between the baseline </w:t>
      </w:r>
      <w:r w:rsidR="00156A50" w:rsidRPr="00557367">
        <w:t xml:space="preserve">category </w:t>
      </w:r>
      <w:r w:rsidR="002F3AB0" w:rsidRPr="00557367">
        <w:t xml:space="preserve">and </w:t>
      </w:r>
      <w:r w:rsidR="00156A50" w:rsidRPr="00557367">
        <w:t xml:space="preserve">the alternative of being more </w:t>
      </w:r>
      <w:r w:rsidR="002F3AB0" w:rsidRPr="00557367">
        <w:t xml:space="preserve">engaged in discussions about local politics, inhabitants from rural areas have a predicted probability of </w:t>
      </w:r>
      <w:r w:rsidR="00D86B77" w:rsidRPr="00557367">
        <w:t xml:space="preserve">being more engaged in local politics of </w:t>
      </w:r>
      <w:r w:rsidR="002F3AB0" w:rsidRPr="00557367">
        <w:t>0.</w:t>
      </w:r>
      <w:r w:rsidR="00D86B77" w:rsidRPr="00557367">
        <w:t>16</w:t>
      </w:r>
      <w:r w:rsidR="002F3AB0" w:rsidRPr="00557367">
        <w:t>, as opposed to 0.1</w:t>
      </w:r>
      <w:r w:rsidR="00D86B77" w:rsidRPr="00557367">
        <w:t>1</w:t>
      </w:r>
      <w:r w:rsidR="002F3AB0" w:rsidRPr="00557367">
        <w:t xml:space="preserve"> of residents in big </w:t>
      </w:r>
      <w:r w:rsidR="00D86B77" w:rsidRPr="00557367">
        <w:t>towns</w:t>
      </w:r>
      <w:r w:rsidR="002F3AB0" w:rsidRPr="00557367">
        <w:t>. The difference is statistically significant at the 95% confidence level. The results also show that living in a rural area does not foster discussion about national politics in a comparable way: the predicted probability of moving from the baseline towards the alternative outcome “N” is 0.1</w:t>
      </w:r>
      <w:r w:rsidR="00D86B77" w:rsidRPr="00557367">
        <w:t>2</w:t>
      </w:r>
      <w:r w:rsidR="002F3AB0" w:rsidRPr="00557367">
        <w:t xml:space="preserve">, which </w:t>
      </w:r>
      <w:r w:rsidR="00467B92">
        <w:t xml:space="preserve">does </w:t>
      </w:r>
      <w:r w:rsidR="00D86B77" w:rsidRPr="00557367">
        <w:t xml:space="preserve">not significantly </w:t>
      </w:r>
      <w:r w:rsidR="00467B92">
        <w:t xml:space="preserve">differ </w:t>
      </w:r>
      <w:r w:rsidR="00D86B77" w:rsidRPr="00557367">
        <w:t xml:space="preserve">from </w:t>
      </w:r>
      <w:r w:rsidR="002F3AB0" w:rsidRPr="00557367">
        <w:t>the 0.1</w:t>
      </w:r>
      <w:r w:rsidR="00D86B77" w:rsidRPr="00557367">
        <w:t>1</w:t>
      </w:r>
      <w:r w:rsidR="002F3AB0" w:rsidRPr="00557367">
        <w:t xml:space="preserve"> of residents of cities.</w:t>
      </w:r>
      <w:r w:rsidR="00B8229C" w:rsidRPr="00557367">
        <w:t xml:space="preserve"> </w:t>
      </w:r>
      <w:r w:rsidR="00D86B77" w:rsidRPr="00557367">
        <w:t>T</w:t>
      </w:r>
      <w:r w:rsidR="002F3AB0" w:rsidRPr="00557367">
        <w:t>he</w:t>
      </w:r>
      <w:r w:rsidR="00D86B77" w:rsidRPr="00557367">
        <w:t xml:space="preserve"> effect of the type of community </w:t>
      </w:r>
      <w:r w:rsidR="002F3AB0" w:rsidRPr="00557367">
        <w:t xml:space="preserve">is not symmetrical in the sense that there is not a </w:t>
      </w:r>
      <w:r w:rsidR="00156A50" w:rsidRPr="00557367">
        <w:t xml:space="preserve">comparable </w:t>
      </w:r>
      <w:r w:rsidR="002F3AB0" w:rsidRPr="00557367">
        <w:t xml:space="preserve">gap between the </w:t>
      </w:r>
      <w:r w:rsidR="00B8229C" w:rsidRPr="00557367">
        <w:t>inclination</w:t>
      </w:r>
      <w:r w:rsidR="002F3AB0" w:rsidRPr="00557367">
        <w:t xml:space="preserve"> </w:t>
      </w:r>
      <w:r w:rsidR="00B8229C" w:rsidRPr="00557367">
        <w:t>to</w:t>
      </w:r>
      <w:r w:rsidR="002F3AB0" w:rsidRPr="00557367">
        <w:t xml:space="preserve"> talking about national politics between residents in big cities and residents in rural areas</w:t>
      </w:r>
      <w:r w:rsidR="00156A50" w:rsidRPr="00557367">
        <w:t>.</w:t>
      </w:r>
    </w:p>
    <w:p w14:paraId="3374B70A" w14:textId="5F457CC9" w:rsidR="002F3AB0" w:rsidRPr="00557367" w:rsidRDefault="005C495C" w:rsidP="00813421">
      <w:r w:rsidRPr="00557367">
        <w:t xml:space="preserve">According to our </w:t>
      </w:r>
      <w:r w:rsidR="002F3AB0" w:rsidRPr="00557367">
        <w:t>second hypothesis</w:t>
      </w:r>
      <w:r w:rsidRPr="00557367">
        <w:t>, individuals with higher l</w:t>
      </w:r>
      <w:r w:rsidR="00156A50" w:rsidRPr="00557367">
        <w:t xml:space="preserve">evels of education </w:t>
      </w:r>
      <w:r w:rsidRPr="00557367">
        <w:t xml:space="preserve">and socioeconomic status should be more prone to discussing national politics than respondents who are less educated and have a lower status. The results show that, on average, each year of completed education gives respondents a </w:t>
      </w:r>
      <w:r w:rsidR="00FD5468" w:rsidRPr="00557367">
        <w:t>0.3</w:t>
      </w:r>
      <w:r w:rsidRPr="00557367">
        <w:t xml:space="preserve"> percentage point higher probability of moving towards “N” and a </w:t>
      </w:r>
      <w:r w:rsidR="00FD5468" w:rsidRPr="00557367">
        <w:t>0.5</w:t>
      </w:r>
      <w:r w:rsidRPr="00557367">
        <w:t xml:space="preserve"> percentage point lower probability of moving towards “L”. The implication is that our hypothesis is </w:t>
      </w:r>
      <w:r w:rsidR="00156A50" w:rsidRPr="00557367">
        <w:t xml:space="preserve">confirmed </w:t>
      </w:r>
      <w:r w:rsidRPr="00557367">
        <w:t xml:space="preserve">especially </w:t>
      </w:r>
      <w:r w:rsidR="00156A50" w:rsidRPr="00557367">
        <w:t xml:space="preserve">outside </w:t>
      </w:r>
      <w:r w:rsidRPr="00557367">
        <w:t xml:space="preserve">the </w:t>
      </w:r>
      <w:r w:rsidR="00156A50" w:rsidRPr="00557367">
        <w:t xml:space="preserve">central values </w:t>
      </w:r>
      <w:r w:rsidRPr="00557367">
        <w:t xml:space="preserve">of the distribution: individuals who left school before turning 18 years old (who correspond to approximately 40% of the sample) are more likely to be engaged in local politics; conversely, those who finished their education at the age of 24 or older (10% of respondents in the sample) are more likely to report a higher engagement towards national politics. </w:t>
      </w:r>
      <w:r w:rsidR="0056171E" w:rsidRPr="00557367">
        <w:t xml:space="preserve">The impact of self-reported SES is </w:t>
      </w:r>
      <w:r w:rsidR="00B8229C" w:rsidRPr="00557367">
        <w:t>more modest</w:t>
      </w:r>
      <w:r w:rsidR="0056171E" w:rsidRPr="00557367">
        <w:t xml:space="preserve">, as the </w:t>
      </w:r>
      <w:r w:rsidR="00E22414" w:rsidRPr="00557367">
        <w:t xml:space="preserve">less steep </w:t>
      </w:r>
      <w:r w:rsidR="0056171E" w:rsidRPr="00557367">
        <w:t xml:space="preserve">slopes </w:t>
      </w:r>
      <w:r w:rsidR="00467B92">
        <w:t>confirm</w:t>
      </w:r>
      <w:r w:rsidR="0056171E" w:rsidRPr="00557367">
        <w:t>. While respondents who identify as a having a status of 3 or lower (13% of the sample) are more likely to fall in the “L” category, the differences fall outside statistical significance for the remaining respondents.</w:t>
      </w:r>
    </w:p>
    <w:p w14:paraId="7256A54E" w14:textId="77777777" w:rsidR="009F726C" w:rsidRDefault="00DD0AA8" w:rsidP="00813421">
      <w:r w:rsidRPr="00557367">
        <w:t xml:space="preserve">Hypothesis </w:t>
      </w:r>
      <w:r w:rsidR="00FE26C6" w:rsidRPr="00557367">
        <w:t>3</w:t>
      </w:r>
      <w:r w:rsidR="00437693" w:rsidRPr="00557367">
        <w:t xml:space="preserve"> </w:t>
      </w:r>
      <w:r w:rsidRPr="00557367">
        <w:t>regards organisational membership</w:t>
      </w:r>
      <w:r w:rsidR="00437693" w:rsidRPr="00557367">
        <w:t xml:space="preserve"> and has a twofold formulation</w:t>
      </w:r>
      <w:r w:rsidRPr="00557367">
        <w:t>.</w:t>
      </w:r>
      <w:r w:rsidR="009512A0" w:rsidRPr="00557367">
        <w:t xml:space="preserve"> H3.A posited that </w:t>
      </w:r>
      <w:r w:rsidR="00B8229C" w:rsidRPr="00557367">
        <w:t xml:space="preserve">membership in </w:t>
      </w:r>
      <w:r w:rsidR="009512A0" w:rsidRPr="00557367">
        <w:t xml:space="preserve">organisations oriented towards the national level would have an effect in fostering discussion about national politics. However, this is not corroborated by our analysis. </w:t>
      </w:r>
      <w:r w:rsidR="00E22414" w:rsidRPr="00557367">
        <w:t>A</w:t>
      </w:r>
      <w:r w:rsidRPr="00557367">
        <w:t xml:space="preserve"> respondent who is not a member of any organisation </w:t>
      </w:r>
      <w:r w:rsidR="00E22414" w:rsidRPr="00557367">
        <w:t xml:space="preserve">with a national scope </w:t>
      </w:r>
      <w:r w:rsidRPr="00557367">
        <w:t xml:space="preserve">has a </w:t>
      </w:r>
      <w:r w:rsidR="00E22414" w:rsidRPr="00557367">
        <w:t>0.1</w:t>
      </w:r>
      <w:r w:rsidR="00FD5468" w:rsidRPr="00557367">
        <w:t>1</w:t>
      </w:r>
      <w:r w:rsidR="00E22414" w:rsidRPr="00557367">
        <w:t xml:space="preserve"> </w:t>
      </w:r>
      <w:r w:rsidRPr="00557367">
        <w:t xml:space="preserve">probability of being </w:t>
      </w:r>
      <w:r w:rsidR="00E22414" w:rsidRPr="00557367">
        <w:t xml:space="preserve">more </w:t>
      </w:r>
      <w:r w:rsidRPr="00557367">
        <w:t xml:space="preserve">engaged in </w:t>
      </w:r>
      <w:r w:rsidR="00E22414" w:rsidRPr="00557367">
        <w:t xml:space="preserve">discussions about </w:t>
      </w:r>
      <w:r w:rsidR="00E22414" w:rsidRPr="00557367">
        <w:lastRenderedPageBreak/>
        <w:t xml:space="preserve">national politics, and an increase of one (organisation) brings only a </w:t>
      </w:r>
      <w:r w:rsidR="00FD5468" w:rsidRPr="00557367">
        <w:t>0.0</w:t>
      </w:r>
      <w:r w:rsidR="00E22414" w:rsidRPr="00557367">
        <w:t xml:space="preserve">1 </w:t>
      </w:r>
      <w:r w:rsidR="00FD5468" w:rsidRPr="00557367">
        <w:t xml:space="preserve">increase in the </w:t>
      </w:r>
      <w:r w:rsidR="00E22414" w:rsidRPr="00557367">
        <w:t xml:space="preserve">chance of moving </w:t>
      </w:r>
      <w:r w:rsidR="00921011" w:rsidRPr="00557367">
        <w:t xml:space="preserve">from the baseline </w:t>
      </w:r>
      <w:r w:rsidR="00E22414" w:rsidRPr="00557367">
        <w:t>towards</w:t>
      </w:r>
      <w:r w:rsidR="00921011" w:rsidRPr="00557367">
        <w:t xml:space="preserve"> “N”</w:t>
      </w:r>
      <w:r w:rsidR="00E22414" w:rsidRPr="00557367">
        <w:t xml:space="preserve">. </w:t>
      </w:r>
    </w:p>
    <w:p w14:paraId="08E44443" w14:textId="6A7CB3A5" w:rsidR="00DD0AA8" w:rsidRPr="00557367" w:rsidRDefault="00C460DB" w:rsidP="00813421">
      <w:r w:rsidRPr="00557367">
        <w:t xml:space="preserve">H3.B, on the other hand, </w:t>
      </w:r>
      <w:r w:rsidR="009F726C">
        <w:t xml:space="preserve">argued </w:t>
      </w:r>
      <w:r w:rsidRPr="00557367">
        <w:t xml:space="preserve">that members of organisations with a local scope will be more likely to engage in discussions about local affairs. </w:t>
      </w:r>
      <w:r w:rsidR="009F726C">
        <w:t>Thus, t</w:t>
      </w:r>
      <w:r w:rsidRPr="00557367">
        <w:t xml:space="preserve">he effect </w:t>
      </w:r>
      <w:r w:rsidR="00921011" w:rsidRPr="00557367">
        <w:t xml:space="preserve">of membership in local associations seems to be stronger: each membership brings a </w:t>
      </w:r>
      <w:r w:rsidR="00FD5468" w:rsidRPr="00557367">
        <w:t xml:space="preserve">0.02 </w:t>
      </w:r>
      <w:r w:rsidR="00921011" w:rsidRPr="00557367">
        <w:t>change of moving from the baseline towards “L” and a -</w:t>
      </w:r>
      <w:r w:rsidR="00FD5468" w:rsidRPr="00557367">
        <w:t>0.02</w:t>
      </w:r>
      <w:r w:rsidR="00921011" w:rsidRPr="00557367">
        <w:t xml:space="preserve"> change in moving towards “N”. In practical terms, a member of one </w:t>
      </w:r>
      <w:r w:rsidR="00CA098F" w:rsidRPr="00557367">
        <w:t xml:space="preserve">single </w:t>
      </w:r>
      <w:r w:rsidR="00921011" w:rsidRPr="00557367">
        <w:t xml:space="preserve">association devoted to local issues </w:t>
      </w:r>
      <w:r w:rsidR="00CA098F" w:rsidRPr="00557367">
        <w:t xml:space="preserve">(17.9% of the sample) </w:t>
      </w:r>
      <w:r w:rsidR="00921011" w:rsidRPr="00557367">
        <w:t>has a 0.1</w:t>
      </w:r>
      <w:r w:rsidR="00FD5468" w:rsidRPr="00557367">
        <w:t>2</w:t>
      </w:r>
      <w:r w:rsidR="00921011" w:rsidRPr="00557367">
        <w:t xml:space="preserve"> chance of </w:t>
      </w:r>
      <w:r w:rsidR="00FD5468" w:rsidRPr="00557367">
        <w:t>being more engaged in national discussions</w:t>
      </w:r>
      <w:r w:rsidR="00921011" w:rsidRPr="00557367">
        <w:t>, and a 0.</w:t>
      </w:r>
      <w:r w:rsidR="00FD5468" w:rsidRPr="00557367">
        <w:t>15</w:t>
      </w:r>
      <w:r w:rsidR="00921011" w:rsidRPr="00557367">
        <w:t xml:space="preserve"> of </w:t>
      </w:r>
      <w:r w:rsidR="00FD5468" w:rsidRPr="00557367">
        <w:t>being more engaged in local elections</w:t>
      </w:r>
      <w:r w:rsidR="00921011" w:rsidRPr="00557367">
        <w:t xml:space="preserve">. </w:t>
      </w:r>
      <w:r w:rsidR="00CA098F" w:rsidRPr="00557367">
        <w:t xml:space="preserve"> </w:t>
      </w:r>
      <w:r w:rsidR="00E02BD4" w:rsidRPr="00557367">
        <w:t>As the ribbons in the plot do not intersect</w:t>
      </w:r>
      <w:r w:rsidR="00B8229C" w:rsidRPr="00557367">
        <w:t>, this</w:t>
      </w:r>
      <w:r w:rsidR="00E02BD4" w:rsidRPr="00557367">
        <w:t xml:space="preserve"> difference is statistically significant. </w:t>
      </w:r>
      <w:r w:rsidR="00CA098F" w:rsidRPr="00557367">
        <w:t xml:space="preserve">The effect is amplified if the respondent is a member of </w:t>
      </w:r>
      <w:r w:rsidR="00B8229C" w:rsidRPr="00557367">
        <w:t xml:space="preserve">two or </w:t>
      </w:r>
      <w:r w:rsidR="00CA098F" w:rsidRPr="00557367">
        <w:t>three or more such organisations, but the number of respondents under these circumstances is low (</w:t>
      </w:r>
      <w:r w:rsidR="00B8229C" w:rsidRPr="00557367">
        <w:t xml:space="preserve">5.7% and </w:t>
      </w:r>
      <w:r w:rsidR="00CA098F" w:rsidRPr="00557367">
        <w:t>2.6%</w:t>
      </w:r>
      <w:r w:rsidR="00B8229C" w:rsidRPr="00557367">
        <w:t xml:space="preserve"> respectively</w:t>
      </w:r>
      <w:r w:rsidR="00CA098F" w:rsidRPr="00557367">
        <w:t>).</w:t>
      </w:r>
    </w:p>
    <w:p w14:paraId="49F8BFBA" w14:textId="2A836836" w:rsidR="0064100A" w:rsidRPr="00557367" w:rsidRDefault="00DD0AA8" w:rsidP="00813421">
      <w:pPr>
        <w:ind w:firstLine="708"/>
      </w:pPr>
      <w:r w:rsidRPr="00557367">
        <w:t xml:space="preserve">Our second set of hypotheses deals with </w:t>
      </w:r>
      <w:r w:rsidR="009F726C">
        <w:t>macro-</w:t>
      </w:r>
      <w:r w:rsidRPr="00557367">
        <w:t xml:space="preserve">level factors. </w:t>
      </w:r>
      <w:r w:rsidR="008864AA" w:rsidRPr="00557367">
        <w:t xml:space="preserve">Figure </w:t>
      </w:r>
      <w:r w:rsidR="009E7E1B" w:rsidRPr="00557367">
        <w:t>1</w:t>
      </w:r>
      <w:r w:rsidR="008864AA" w:rsidRPr="00557367">
        <w:t xml:space="preserve"> shows that variations within</w:t>
      </w:r>
      <w:r w:rsidR="0064100A" w:rsidRPr="00557367">
        <w:t xml:space="preserve"> countries regarding the distribution of the “N” and “L” profiles</w:t>
      </w:r>
      <w:r w:rsidR="00B8229C" w:rsidRPr="00557367">
        <w:t xml:space="preserve"> are not </w:t>
      </w:r>
      <w:r w:rsidR="009E12AF">
        <w:t xml:space="preserve">very </w:t>
      </w:r>
      <w:r w:rsidR="009E12AF" w:rsidRPr="00557367">
        <w:t>salient</w:t>
      </w:r>
      <w:r w:rsidR="008864AA" w:rsidRPr="00557367">
        <w:t>. However, we cannot reject the possibility of macro-level factors mitigating or exacerbating the effect of individual-level variables</w:t>
      </w:r>
      <w:r w:rsidR="0064100A" w:rsidRPr="00557367">
        <w:t>; therefore, testing hypotheses formulated at the country-level remains an important part of the analysis.</w:t>
      </w:r>
      <w:r w:rsidR="008864AA" w:rsidRPr="00557367">
        <w:t xml:space="preserve"> </w:t>
      </w:r>
    </w:p>
    <w:p w14:paraId="08E44444" w14:textId="5DE0DDAC" w:rsidR="00DD0AA8" w:rsidRPr="00557367" w:rsidRDefault="00DD0AA8" w:rsidP="00813421">
      <w:pPr>
        <w:ind w:firstLine="708"/>
      </w:pPr>
      <w:r w:rsidRPr="00557367">
        <w:t xml:space="preserve">Hypothesis </w:t>
      </w:r>
      <w:r w:rsidR="008864AA" w:rsidRPr="00557367">
        <w:t>4</w:t>
      </w:r>
      <w:r w:rsidR="00460F66" w:rsidRPr="00557367">
        <w:t xml:space="preserve"> posited that </w:t>
      </w:r>
      <w:r w:rsidRPr="00557367">
        <w:t xml:space="preserve">living in </w:t>
      </w:r>
      <w:r w:rsidR="00460F66" w:rsidRPr="00557367">
        <w:t xml:space="preserve">a </w:t>
      </w:r>
      <w:r w:rsidRPr="00557367">
        <w:t xml:space="preserve">wealthier </w:t>
      </w:r>
      <w:r w:rsidR="00460F66" w:rsidRPr="00557367">
        <w:t>country would enhance</w:t>
      </w:r>
      <w:r w:rsidRPr="00557367">
        <w:t xml:space="preserve"> the </w:t>
      </w:r>
      <w:r w:rsidR="00AF12D9" w:rsidRPr="00557367">
        <w:t xml:space="preserve">probability </w:t>
      </w:r>
      <w:r w:rsidRPr="00557367">
        <w:t xml:space="preserve">of being </w:t>
      </w:r>
      <w:r w:rsidR="00AF12D9" w:rsidRPr="00557367">
        <w:t xml:space="preserve">more </w:t>
      </w:r>
      <w:r w:rsidRPr="00557367">
        <w:t>engaged in national politic</w:t>
      </w:r>
      <w:r w:rsidR="00460F66" w:rsidRPr="00557367">
        <w:t>s</w:t>
      </w:r>
      <w:r w:rsidRPr="00557367">
        <w:t xml:space="preserve">. </w:t>
      </w:r>
      <w:r w:rsidR="00AF12D9" w:rsidRPr="00557367">
        <w:t>The plot shows that moving f</w:t>
      </w:r>
      <w:r w:rsidRPr="00557367">
        <w:t xml:space="preserve">rom the lower end of the spectrum of logged GDP values towards its upper end doubles the predicted probability of having a profile </w:t>
      </w:r>
      <w:r w:rsidR="009E7E1B" w:rsidRPr="00557367">
        <w:t xml:space="preserve">of type “N” </w:t>
      </w:r>
      <w:r w:rsidRPr="00557367">
        <w:t xml:space="preserve">from </w:t>
      </w:r>
      <w:r w:rsidR="0023015F" w:rsidRPr="00557367">
        <w:t>0.</w:t>
      </w:r>
      <w:r w:rsidR="009E7E1B" w:rsidRPr="00557367">
        <w:t>08</w:t>
      </w:r>
      <w:r w:rsidR="0023015F" w:rsidRPr="00557367">
        <w:t xml:space="preserve"> </w:t>
      </w:r>
      <w:r w:rsidRPr="00557367">
        <w:t xml:space="preserve">to </w:t>
      </w:r>
      <w:r w:rsidR="0023015F" w:rsidRPr="00557367">
        <w:t>0.</w:t>
      </w:r>
      <w:r w:rsidR="009E7E1B" w:rsidRPr="00557367">
        <w:t>16</w:t>
      </w:r>
      <w:r w:rsidR="0023015F" w:rsidRPr="00557367">
        <w:t xml:space="preserve">. However, as the ribbon around the line illustrates, there is a large error associated with this </w:t>
      </w:r>
      <w:r w:rsidR="009E12AF">
        <w:t>estimate</w:t>
      </w:r>
      <w:r w:rsidR="0023015F" w:rsidRPr="00557367">
        <w:t xml:space="preserve">, and </w:t>
      </w:r>
      <w:r w:rsidR="00ED18BA" w:rsidRPr="00557367">
        <w:t xml:space="preserve">the predicted probabilities for </w:t>
      </w:r>
      <w:r w:rsidR="0023015F" w:rsidRPr="00557367">
        <w:t xml:space="preserve">intermediate positions of GDP per capita </w:t>
      </w:r>
      <w:r w:rsidR="009E7E1B" w:rsidRPr="00557367">
        <w:t>are so close to each other that the</w:t>
      </w:r>
      <w:r w:rsidR="00ED18BA" w:rsidRPr="00557367">
        <w:t>ir differences</w:t>
      </w:r>
      <w:r w:rsidR="009E7E1B" w:rsidRPr="00557367">
        <w:t xml:space="preserve"> </w:t>
      </w:r>
      <w:r w:rsidR="00ED18BA" w:rsidRPr="00557367">
        <w:t xml:space="preserve">are not </w:t>
      </w:r>
      <w:r w:rsidR="00AF12D9" w:rsidRPr="00557367">
        <w:t>statistically significant</w:t>
      </w:r>
      <w:r w:rsidR="0023015F" w:rsidRPr="00557367">
        <w:t xml:space="preserve">. Also, </w:t>
      </w:r>
      <w:r w:rsidR="008C6EF3" w:rsidRPr="00557367">
        <w:t>contrary to our hypothesis</w:t>
      </w:r>
      <w:r w:rsidR="0023015F" w:rsidRPr="00557367">
        <w:t>, a higher GDP also seems to foster the likelihood of moving from the baseline towards a higher interest in local matters</w:t>
      </w:r>
      <w:r w:rsidR="00AF12D9" w:rsidRPr="00557367">
        <w:t xml:space="preserve">, although </w:t>
      </w:r>
      <w:r w:rsidR="00B8229C" w:rsidRPr="00557367">
        <w:t xml:space="preserve">the </w:t>
      </w:r>
      <w:r w:rsidR="00AF12D9" w:rsidRPr="00557367">
        <w:t xml:space="preserve">slope </w:t>
      </w:r>
      <w:r w:rsidR="00B8229C" w:rsidRPr="00557367">
        <w:t xml:space="preserve">is </w:t>
      </w:r>
      <w:proofErr w:type="gramStart"/>
      <w:r w:rsidR="00B8229C" w:rsidRPr="00557367">
        <w:t>smaller</w:t>
      </w:r>
      <w:proofErr w:type="gramEnd"/>
      <w:r w:rsidR="00B8229C" w:rsidRPr="00557367">
        <w:t xml:space="preserve"> </w:t>
      </w:r>
      <w:r w:rsidR="00AF12D9" w:rsidRPr="00557367">
        <w:t xml:space="preserve">and </w:t>
      </w:r>
      <w:r w:rsidR="00B8229C" w:rsidRPr="00557367">
        <w:t xml:space="preserve">the </w:t>
      </w:r>
      <w:r w:rsidR="00AF12D9" w:rsidRPr="00557367">
        <w:t>associated</w:t>
      </w:r>
      <w:r w:rsidR="00B8229C" w:rsidRPr="00557367">
        <w:t xml:space="preserve"> error is higher</w:t>
      </w:r>
      <w:r w:rsidR="0023015F" w:rsidRPr="00557367">
        <w:t xml:space="preserve">. </w:t>
      </w:r>
      <w:r w:rsidR="00B8229C" w:rsidRPr="00557367">
        <w:t xml:space="preserve">Therefore, while there seems to be evidence of an </w:t>
      </w:r>
      <w:r w:rsidR="0092317B" w:rsidRPr="00557367">
        <w:t xml:space="preserve">impact </w:t>
      </w:r>
      <w:r w:rsidR="00B8229C" w:rsidRPr="00557367">
        <w:t>of economic development</w:t>
      </w:r>
      <w:r w:rsidR="005F0831" w:rsidRPr="00557367">
        <w:t xml:space="preserve"> in increasing the likelihood of discussing about national politics </w:t>
      </w:r>
      <w:r w:rsidR="0092317B" w:rsidRPr="00557367">
        <w:t xml:space="preserve">the effect is not as strong </w:t>
      </w:r>
      <w:r w:rsidR="00ED18BA" w:rsidRPr="00557367">
        <w:t xml:space="preserve">or exclusive </w:t>
      </w:r>
      <w:r w:rsidR="009E12AF">
        <w:t xml:space="preserve">to national politics </w:t>
      </w:r>
      <w:r w:rsidR="0092317B" w:rsidRPr="00557367">
        <w:t xml:space="preserve">as </w:t>
      </w:r>
      <w:r w:rsidR="009E7E1B" w:rsidRPr="00557367">
        <w:t xml:space="preserve">initially </w:t>
      </w:r>
      <w:r w:rsidR="0092317B" w:rsidRPr="00557367">
        <w:t>expected.</w:t>
      </w:r>
    </w:p>
    <w:p w14:paraId="08E44445" w14:textId="6AE9E66A" w:rsidR="00DD0AA8" w:rsidRPr="00557367" w:rsidRDefault="0092317B" w:rsidP="00813421">
      <w:pPr>
        <w:ind w:firstLine="708"/>
      </w:pPr>
      <w:r w:rsidRPr="00557367">
        <w:t>Finally, t</w:t>
      </w:r>
      <w:r w:rsidR="00DD0AA8" w:rsidRPr="00557367">
        <w:t xml:space="preserve">he </w:t>
      </w:r>
      <w:r w:rsidRPr="00557367">
        <w:t>hypothesis</w:t>
      </w:r>
      <w:r w:rsidR="00DD0AA8" w:rsidRPr="00557367">
        <w:t xml:space="preserve"> that living in a more decentralized country </w:t>
      </w:r>
      <w:r w:rsidR="00ED18BA" w:rsidRPr="00557367">
        <w:t>stimulates</w:t>
      </w:r>
      <w:r w:rsidR="00DD0AA8" w:rsidRPr="00557367">
        <w:t xml:space="preserve"> the propensity to discuss local matt</w:t>
      </w:r>
      <w:r w:rsidR="00787C36" w:rsidRPr="00557367">
        <w:t>ers (</w:t>
      </w:r>
      <w:r w:rsidRPr="00557367">
        <w:t>H</w:t>
      </w:r>
      <w:r w:rsidR="00787C36" w:rsidRPr="00557367">
        <w:t xml:space="preserve">6) is </w:t>
      </w:r>
      <w:r w:rsidR="00AF12D9" w:rsidRPr="00557367">
        <w:t xml:space="preserve">not fully </w:t>
      </w:r>
      <w:r w:rsidR="00787C36" w:rsidRPr="00557367">
        <w:t xml:space="preserve">met. </w:t>
      </w:r>
      <w:r w:rsidR="00AF12D9" w:rsidRPr="00557367">
        <w:t>While it is true that i</w:t>
      </w:r>
      <w:r w:rsidR="004D2184" w:rsidRPr="00557367">
        <w:t xml:space="preserve">ndividuals from countries where local governments are responsible for a negligible fraction of public expenditure will tend to discuss local politics less often than individuals from countries </w:t>
      </w:r>
      <w:r w:rsidR="00A200C3" w:rsidRPr="00557367">
        <w:t>where the local government spends more</w:t>
      </w:r>
      <w:r w:rsidR="00AF12D9" w:rsidRPr="00557367">
        <w:t>, the errors associated with those predictions</w:t>
      </w:r>
      <w:r w:rsidR="00A200C3" w:rsidRPr="00557367">
        <w:t xml:space="preserve"> </w:t>
      </w:r>
      <w:r w:rsidR="00AF12D9" w:rsidRPr="00557367">
        <w:t xml:space="preserve">are </w:t>
      </w:r>
      <w:r w:rsidR="00A200C3" w:rsidRPr="00557367">
        <w:lastRenderedPageBreak/>
        <w:t>large</w:t>
      </w:r>
      <w:r w:rsidR="00AF12D9" w:rsidRPr="00557367">
        <w:t xml:space="preserve">. Moreover, </w:t>
      </w:r>
      <w:r w:rsidR="00A200C3" w:rsidRPr="00557367">
        <w:t xml:space="preserve">an increase in the proportion </w:t>
      </w:r>
      <w:r w:rsidR="00B8229C" w:rsidRPr="00557367">
        <w:t xml:space="preserve">of money spent </w:t>
      </w:r>
      <w:r w:rsidR="00A200C3" w:rsidRPr="00557367">
        <w:t xml:space="preserve">also leads to a small growth in the probability of discussing national politics. </w:t>
      </w:r>
      <w:r w:rsidR="00AF12D9" w:rsidRPr="00557367">
        <w:t xml:space="preserve">Taken together, the results of </w:t>
      </w:r>
      <w:r w:rsidRPr="00557367">
        <w:t xml:space="preserve">the </w:t>
      </w:r>
      <w:r w:rsidR="00AF12D9" w:rsidRPr="00557367">
        <w:t xml:space="preserve">two </w:t>
      </w:r>
      <w:r w:rsidRPr="00557367">
        <w:t xml:space="preserve">macro-level </w:t>
      </w:r>
      <w:r w:rsidR="00AF12D9" w:rsidRPr="00557367">
        <w:t xml:space="preserve">hypotheses </w:t>
      </w:r>
      <w:r w:rsidRPr="00557367">
        <w:t xml:space="preserve">suggest </w:t>
      </w:r>
      <w:r w:rsidR="00AF12D9" w:rsidRPr="00557367">
        <w:t xml:space="preserve">that country-level factors </w:t>
      </w:r>
      <w:r w:rsidRPr="00557367">
        <w:t xml:space="preserve">may </w:t>
      </w:r>
      <w:r w:rsidR="00AF12D9" w:rsidRPr="00557367">
        <w:t xml:space="preserve">not play a </w:t>
      </w:r>
      <w:r w:rsidR="00B10448" w:rsidRPr="00557367">
        <w:t xml:space="preserve">relevant </w:t>
      </w:r>
      <w:r w:rsidR="00AF12D9" w:rsidRPr="00557367">
        <w:t>role in inducin</w:t>
      </w:r>
      <w:r w:rsidRPr="00557367">
        <w:t xml:space="preserve">g individuals to move to specifically inducing discussion about </w:t>
      </w:r>
      <w:r w:rsidR="00B10448" w:rsidRPr="00557367">
        <w:t xml:space="preserve">either </w:t>
      </w:r>
      <w:r w:rsidRPr="00557367">
        <w:t>local or national issues</w:t>
      </w:r>
      <w:r w:rsidR="00AF12D9" w:rsidRPr="00557367">
        <w:t xml:space="preserve">. </w:t>
      </w:r>
    </w:p>
    <w:p w14:paraId="08E44446" w14:textId="77777777" w:rsidR="003B61A8" w:rsidRPr="00557367" w:rsidRDefault="003B61A8" w:rsidP="00813421">
      <w:pPr>
        <w:ind w:firstLine="0"/>
      </w:pPr>
    </w:p>
    <w:p w14:paraId="08E44447" w14:textId="65BD74C9" w:rsidR="008D3BE7" w:rsidRPr="00557367" w:rsidRDefault="0092317B" w:rsidP="00813421">
      <w:pPr>
        <w:pStyle w:val="ListParagraph"/>
        <w:numPr>
          <w:ilvl w:val="0"/>
          <w:numId w:val="10"/>
        </w:numPr>
        <w:spacing w:after="160"/>
        <w:rPr>
          <w:b/>
        </w:rPr>
      </w:pPr>
      <w:r w:rsidRPr="00557367">
        <w:rPr>
          <w:b/>
        </w:rPr>
        <w:t>Conclusions</w:t>
      </w:r>
    </w:p>
    <w:p w14:paraId="7606C3E0" w14:textId="79D9776B" w:rsidR="00E5485E" w:rsidRPr="00557367" w:rsidRDefault="007A0988" w:rsidP="00813421">
      <w:pPr>
        <w:ind w:firstLine="708"/>
        <w:rPr>
          <w:lang w:eastAsia="pt-PT"/>
        </w:rPr>
      </w:pPr>
      <w:r w:rsidRPr="00557367">
        <w:t>While it would be an overstatement to argue that jurisdictional scales have been completely absent from the research about political behaviour, the</w:t>
      </w:r>
      <w:r w:rsidR="00D76590">
        <w:t xml:space="preserve">re is a scarcity of </w:t>
      </w:r>
      <w:r w:rsidR="00743484">
        <w:t xml:space="preserve">cross-national </w:t>
      </w:r>
      <w:r w:rsidR="00D76590">
        <w:t xml:space="preserve">studies about the drivers of </w:t>
      </w:r>
      <w:r w:rsidRPr="00557367">
        <w:t>involvement towards different</w:t>
      </w:r>
      <w:r w:rsidR="00D76590">
        <w:t xml:space="preserve"> levels of politics</w:t>
      </w:r>
      <w:r w:rsidRPr="00557367">
        <w:t xml:space="preserve">. </w:t>
      </w:r>
      <w:r w:rsidR="00632DB9" w:rsidRPr="00557367">
        <w:t xml:space="preserve">This article </w:t>
      </w:r>
      <w:proofErr w:type="gramStart"/>
      <w:r>
        <w:t>use</w:t>
      </w:r>
      <w:proofErr w:type="gramEnd"/>
      <w:r>
        <w:t xml:space="preserve"> </w:t>
      </w:r>
      <w:r w:rsidR="00632DB9" w:rsidRPr="00557367">
        <w:t xml:space="preserve">survey data </w:t>
      </w:r>
      <w:r>
        <w:t xml:space="preserve">collected in a wide set of European polities </w:t>
      </w:r>
      <w:r w:rsidR="00632DB9" w:rsidRPr="00557367">
        <w:t xml:space="preserve">to show that </w:t>
      </w:r>
      <w:r w:rsidR="00D76590">
        <w:t xml:space="preserve">the frequency of </w:t>
      </w:r>
      <w:r w:rsidR="00632DB9" w:rsidRPr="00557367">
        <w:t xml:space="preserve">political discussion about different territorial levels </w:t>
      </w:r>
      <w:r>
        <w:t xml:space="preserve">is not a function of </w:t>
      </w:r>
      <w:r w:rsidR="00D76590">
        <w:t>the same set of factors</w:t>
      </w:r>
      <w:r w:rsidR="00632DB9" w:rsidRPr="00557367">
        <w:t xml:space="preserve">. </w:t>
      </w:r>
      <w:r w:rsidR="00C109B0">
        <w:rPr>
          <w:lang w:eastAsia="pt-PT"/>
        </w:rPr>
        <w:t>Levels of education, the types of organisation one is a member of</w:t>
      </w:r>
      <w:r w:rsidR="00683E56" w:rsidRPr="00557367">
        <w:rPr>
          <w:lang w:eastAsia="pt-PT"/>
        </w:rPr>
        <w:t xml:space="preserve"> or the </w:t>
      </w:r>
      <w:r w:rsidR="004F128F" w:rsidRPr="00557367">
        <w:rPr>
          <w:lang w:eastAsia="pt-PT"/>
        </w:rPr>
        <w:t xml:space="preserve">type of community one lives in, for instance, play a </w:t>
      </w:r>
      <w:r w:rsidR="00CE4846" w:rsidRPr="00557367">
        <w:rPr>
          <w:lang w:eastAsia="pt-PT"/>
        </w:rPr>
        <w:t>significant</w:t>
      </w:r>
      <w:r w:rsidR="004F128F" w:rsidRPr="00557367">
        <w:rPr>
          <w:lang w:eastAsia="pt-PT"/>
        </w:rPr>
        <w:t xml:space="preserve"> role in </w:t>
      </w:r>
      <w:r w:rsidR="00C109B0">
        <w:rPr>
          <w:lang w:eastAsia="pt-PT"/>
        </w:rPr>
        <w:t xml:space="preserve">determining </w:t>
      </w:r>
      <w:r w:rsidR="004F128F" w:rsidRPr="00557367">
        <w:rPr>
          <w:lang w:eastAsia="pt-PT"/>
        </w:rPr>
        <w:t xml:space="preserve">the type of political discussions one </w:t>
      </w:r>
      <w:r w:rsidR="00C109B0">
        <w:rPr>
          <w:lang w:eastAsia="pt-PT"/>
        </w:rPr>
        <w:t>is more likely to engage</w:t>
      </w:r>
      <w:r w:rsidR="004F128F" w:rsidRPr="00557367">
        <w:rPr>
          <w:lang w:eastAsia="pt-PT"/>
        </w:rPr>
        <w:t xml:space="preserve"> with. </w:t>
      </w:r>
    </w:p>
    <w:p w14:paraId="0406D3E2" w14:textId="1F65F0A6" w:rsidR="0003684F" w:rsidRPr="00557367" w:rsidRDefault="007A5230" w:rsidP="00813421">
      <w:pPr>
        <w:ind w:firstLine="708"/>
      </w:pPr>
      <w:r w:rsidRPr="00557367">
        <w:rPr>
          <w:lang w:eastAsia="pt-PT"/>
        </w:rPr>
        <w:t>Conversely</w:t>
      </w:r>
      <w:r w:rsidR="006711DA" w:rsidRPr="00557367">
        <w:rPr>
          <w:lang w:eastAsia="pt-PT"/>
        </w:rPr>
        <w:t xml:space="preserve">, </w:t>
      </w:r>
      <w:r w:rsidR="0003684F" w:rsidRPr="00557367">
        <w:rPr>
          <w:lang w:eastAsia="pt-PT"/>
        </w:rPr>
        <w:t>evidence of the impact of</w:t>
      </w:r>
      <w:r w:rsidR="00B041B2" w:rsidRPr="00557367">
        <w:rPr>
          <w:lang w:eastAsia="pt-PT"/>
        </w:rPr>
        <w:t xml:space="preserve"> </w:t>
      </w:r>
      <w:r w:rsidR="00683E56" w:rsidRPr="00557367">
        <w:rPr>
          <w:lang w:eastAsia="pt-PT"/>
        </w:rPr>
        <w:t xml:space="preserve">macro-level factors </w:t>
      </w:r>
      <w:r w:rsidR="0003684F" w:rsidRPr="00557367">
        <w:rPr>
          <w:lang w:eastAsia="pt-PT"/>
        </w:rPr>
        <w:t xml:space="preserve">in fostering a differential engagement towards </w:t>
      </w:r>
      <w:r w:rsidR="000F5D4E" w:rsidRPr="00557367">
        <w:rPr>
          <w:lang w:eastAsia="pt-PT"/>
        </w:rPr>
        <w:t xml:space="preserve">distinct </w:t>
      </w:r>
      <w:r w:rsidR="0003684F" w:rsidRPr="00557367">
        <w:rPr>
          <w:lang w:eastAsia="pt-PT"/>
        </w:rPr>
        <w:t>jurisdictional scales is not as compelling as initially hypothesised, despite</w:t>
      </w:r>
      <w:r w:rsidRPr="00557367">
        <w:rPr>
          <w:lang w:eastAsia="pt-PT"/>
        </w:rPr>
        <w:t xml:space="preserve"> </w:t>
      </w:r>
      <w:r w:rsidR="0003684F" w:rsidRPr="00557367">
        <w:rPr>
          <w:lang w:eastAsia="pt-PT"/>
        </w:rPr>
        <w:t>e</w:t>
      </w:r>
      <w:r w:rsidRPr="00557367">
        <w:rPr>
          <w:lang w:eastAsia="pt-PT"/>
        </w:rPr>
        <w:t xml:space="preserve">arlier research </w:t>
      </w:r>
      <w:r w:rsidR="0003684F" w:rsidRPr="00557367">
        <w:rPr>
          <w:lang w:eastAsia="pt-PT"/>
        </w:rPr>
        <w:t xml:space="preserve">having </w:t>
      </w:r>
      <w:r w:rsidRPr="00557367">
        <w:rPr>
          <w:lang w:eastAsia="pt-PT"/>
        </w:rPr>
        <w:t xml:space="preserve">established that contextual factors </w:t>
      </w:r>
      <w:r w:rsidR="0003684F" w:rsidRPr="00557367">
        <w:rPr>
          <w:lang w:eastAsia="pt-PT"/>
        </w:rPr>
        <w:t xml:space="preserve">matter a great deal </w:t>
      </w:r>
      <w:r w:rsidR="000F5D4E" w:rsidRPr="00557367">
        <w:rPr>
          <w:lang w:eastAsia="pt-PT"/>
        </w:rPr>
        <w:t xml:space="preserve">to the </w:t>
      </w:r>
      <w:r w:rsidRPr="00557367">
        <w:rPr>
          <w:lang w:eastAsia="pt-PT"/>
        </w:rPr>
        <w:t>levels of generalist political engagement</w:t>
      </w:r>
      <w:r w:rsidR="000F5D4E" w:rsidRPr="00557367">
        <w:rPr>
          <w:lang w:eastAsia="pt-PT"/>
        </w:rPr>
        <w:t xml:space="preserve"> </w:t>
      </w:r>
      <w:r w:rsidR="000F5D4E" w:rsidRPr="00557367">
        <w:rPr>
          <w:lang w:eastAsia="pt-PT"/>
        </w:rPr>
        <w:fldChar w:fldCharType="begin"/>
      </w:r>
      <w:r w:rsidR="000F5D4E" w:rsidRPr="00557367">
        <w:rPr>
          <w:lang w:eastAsia="pt-PT"/>
        </w:rPr>
        <w:instrText xml:space="preserve"> ADDIN ZOTERO_ITEM CSL_CITATION {"citationID":"j83flkqih","properties":{"formattedCitation":"(Inglehart, 1990)","plainCitation":"(Inglehart, 1990)"},"citationItems":[{"id":461,"uris":["http://zotero.org/users/109723/items/GT9VTZAZ"],"uri":["http://zotero.org/users/109723/items/GT9VTZAZ"],"itemData":{"id":461,"type":"book","title":"Culture shift in advanced industrial society","publisher":"Princeton University Press","publisher-place":"Princeton, NJ","source":"Open WorldCat","event-place":"Princeton, NJ","ISBN":"978-0-691-07786-4","author":[{"family":"Inglehart","given":"Ronald"}],"issued":{"date-parts":[["1990"]]}}}],"schema":"https://github.com/citation-style-language/schema/raw/master/csl-citation.json"} </w:instrText>
      </w:r>
      <w:r w:rsidR="000F5D4E" w:rsidRPr="00557367">
        <w:rPr>
          <w:lang w:eastAsia="pt-PT"/>
        </w:rPr>
        <w:fldChar w:fldCharType="separate"/>
      </w:r>
      <w:r w:rsidR="000F5D4E" w:rsidRPr="00557367">
        <w:t>(Inglehart, 1990)</w:t>
      </w:r>
      <w:r w:rsidR="000F5D4E" w:rsidRPr="00557367">
        <w:rPr>
          <w:lang w:eastAsia="pt-PT"/>
        </w:rPr>
        <w:fldChar w:fldCharType="end"/>
      </w:r>
      <w:r w:rsidR="00683E56" w:rsidRPr="00557367">
        <w:rPr>
          <w:lang w:eastAsia="pt-PT"/>
        </w:rPr>
        <w:t xml:space="preserve">. </w:t>
      </w:r>
      <w:r w:rsidR="0003684F" w:rsidRPr="00557367">
        <w:rPr>
          <w:lang w:eastAsia="pt-PT"/>
        </w:rPr>
        <w:t xml:space="preserve">Even in countries in an advanced stage of economic development, </w:t>
      </w:r>
      <w:r w:rsidR="000F5D4E" w:rsidRPr="00557367">
        <w:rPr>
          <w:lang w:eastAsia="pt-PT"/>
        </w:rPr>
        <w:t xml:space="preserve">there is </w:t>
      </w:r>
      <w:r w:rsidR="00C109B0">
        <w:rPr>
          <w:lang w:eastAsia="pt-PT"/>
        </w:rPr>
        <w:t>the</w:t>
      </w:r>
      <w:r w:rsidR="000F5D4E" w:rsidRPr="00557367">
        <w:rPr>
          <w:lang w:eastAsia="pt-PT"/>
        </w:rPr>
        <w:t xml:space="preserve"> persistence of </w:t>
      </w:r>
      <w:r w:rsidR="0003684F" w:rsidRPr="00557367">
        <w:rPr>
          <w:lang w:eastAsia="pt-PT"/>
        </w:rPr>
        <w:t xml:space="preserve">groups of individuals </w:t>
      </w:r>
      <w:r w:rsidR="000F5D4E" w:rsidRPr="00557367">
        <w:rPr>
          <w:lang w:eastAsia="pt-PT"/>
        </w:rPr>
        <w:t xml:space="preserve">who </w:t>
      </w:r>
      <w:r w:rsidR="00D76590">
        <w:rPr>
          <w:lang w:eastAsia="pt-PT"/>
        </w:rPr>
        <w:t xml:space="preserve">remain </w:t>
      </w:r>
      <w:r w:rsidR="0003684F" w:rsidRPr="00557367">
        <w:rPr>
          <w:lang w:eastAsia="pt-PT"/>
        </w:rPr>
        <w:t xml:space="preserve">more likely to discuss local affairs. Furthermore, engagement with local politics does not seem to be contingent upon the </w:t>
      </w:r>
      <w:r w:rsidR="00E41ED3" w:rsidRPr="00557367">
        <w:rPr>
          <w:lang w:eastAsia="pt-PT"/>
        </w:rPr>
        <w:t xml:space="preserve">devolution </w:t>
      </w:r>
      <w:r w:rsidR="0003684F" w:rsidRPr="00557367">
        <w:rPr>
          <w:lang w:eastAsia="pt-PT"/>
        </w:rPr>
        <w:t xml:space="preserve">of significant powers to local authorities. Given these results, it can </w:t>
      </w:r>
      <w:r w:rsidR="00E41ED3" w:rsidRPr="00557367">
        <w:rPr>
          <w:lang w:eastAsia="pt-PT"/>
        </w:rPr>
        <w:t xml:space="preserve">be </w:t>
      </w:r>
      <w:r w:rsidR="0003684F" w:rsidRPr="00557367">
        <w:rPr>
          <w:lang w:eastAsia="pt-PT"/>
        </w:rPr>
        <w:t xml:space="preserve">fruitful for future studies to </w:t>
      </w:r>
      <w:r w:rsidR="00904C47">
        <w:rPr>
          <w:lang w:eastAsia="pt-PT"/>
        </w:rPr>
        <w:t>add</w:t>
      </w:r>
      <w:r w:rsidR="0003684F" w:rsidRPr="00557367">
        <w:rPr>
          <w:lang w:eastAsia="pt-PT"/>
        </w:rPr>
        <w:t xml:space="preserve"> the temporal dimension into the analysis, by using surveys conducted over multiple periods of time and testing whether the evolution of macro-contexts brings changes to the probability of </w:t>
      </w:r>
      <w:r w:rsidR="000F5D4E" w:rsidRPr="00557367">
        <w:rPr>
          <w:lang w:eastAsia="pt-PT"/>
        </w:rPr>
        <w:t xml:space="preserve">being more </w:t>
      </w:r>
      <w:r w:rsidR="00904C47">
        <w:rPr>
          <w:lang w:eastAsia="pt-PT"/>
        </w:rPr>
        <w:t xml:space="preserve">engaged </w:t>
      </w:r>
      <w:r w:rsidR="000F5D4E" w:rsidRPr="00557367">
        <w:rPr>
          <w:lang w:eastAsia="pt-PT"/>
        </w:rPr>
        <w:t xml:space="preserve">in </w:t>
      </w:r>
      <w:r w:rsidR="00904C47">
        <w:rPr>
          <w:lang w:eastAsia="pt-PT"/>
        </w:rPr>
        <w:t xml:space="preserve">discussing </w:t>
      </w:r>
      <w:r w:rsidR="000F5D4E" w:rsidRPr="00557367">
        <w:rPr>
          <w:lang w:eastAsia="pt-PT"/>
        </w:rPr>
        <w:t>one specific level of politics</w:t>
      </w:r>
      <w:r w:rsidR="00904C47">
        <w:rPr>
          <w:lang w:eastAsia="pt-PT"/>
        </w:rPr>
        <w:t>.</w:t>
      </w:r>
    </w:p>
    <w:p w14:paraId="08E44449" w14:textId="1B671F8E" w:rsidR="009E5315" w:rsidRPr="00557367" w:rsidRDefault="00683E56" w:rsidP="00813421">
      <w:pPr>
        <w:rPr>
          <w:lang w:eastAsia="pt-PT"/>
        </w:rPr>
      </w:pPr>
      <w:r w:rsidRPr="00557367">
        <w:rPr>
          <w:lang w:eastAsia="pt-PT"/>
        </w:rPr>
        <w:t xml:space="preserve">Two </w:t>
      </w:r>
      <w:r w:rsidR="00611FCB" w:rsidRPr="00557367">
        <w:rPr>
          <w:lang w:eastAsia="pt-PT"/>
        </w:rPr>
        <w:t>further</w:t>
      </w:r>
      <w:r w:rsidR="00157449" w:rsidRPr="00557367">
        <w:rPr>
          <w:lang w:eastAsia="pt-PT"/>
        </w:rPr>
        <w:t xml:space="preserve"> implications </w:t>
      </w:r>
      <w:r w:rsidR="00A12642" w:rsidRPr="00557367">
        <w:rPr>
          <w:lang w:eastAsia="pt-PT"/>
        </w:rPr>
        <w:t xml:space="preserve">can be </w:t>
      </w:r>
      <w:r w:rsidR="00BB1FF8" w:rsidRPr="00557367">
        <w:rPr>
          <w:lang w:eastAsia="pt-PT"/>
        </w:rPr>
        <w:t>derive</w:t>
      </w:r>
      <w:r w:rsidR="00A12642" w:rsidRPr="00557367">
        <w:rPr>
          <w:lang w:eastAsia="pt-PT"/>
        </w:rPr>
        <w:t>d</w:t>
      </w:r>
      <w:r w:rsidR="00157449" w:rsidRPr="00557367">
        <w:rPr>
          <w:lang w:eastAsia="pt-PT"/>
        </w:rPr>
        <w:t xml:space="preserve"> from our results</w:t>
      </w:r>
      <w:r w:rsidR="0070418B" w:rsidRPr="00557367">
        <w:rPr>
          <w:lang w:eastAsia="pt-PT"/>
        </w:rPr>
        <w:t>,</w:t>
      </w:r>
      <w:r w:rsidR="00BB1FF8" w:rsidRPr="00557367">
        <w:rPr>
          <w:lang w:eastAsia="pt-PT"/>
        </w:rPr>
        <w:t xml:space="preserve"> </w:t>
      </w:r>
      <w:r w:rsidR="0070418B" w:rsidRPr="00557367">
        <w:rPr>
          <w:lang w:eastAsia="pt-PT"/>
        </w:rPr>
        <w:t>t</w:t>
      </w:r>
      <w:r w:rsidRPr="00557367">
        <w:rPr>
          <w:lang w:eastAsia="pt-PT"/>
        </w:rPr>
        <w:t xml:space="preserve">he first </w:t>
      </w:r>
      <w:r w:rsidR="0070418B" w:rsidRPr="00557367">
        <w:rPr>
          <w:lang w:eastAsia="pt-PT"/>
        </w:rPr>
        <w:t xml:space="preserve">being </w:t>
      </w:r>
      <w:r w:rsidRPr="00557367">
        <w:rPr>
          <w:lang w:eastAsia="pt-PT"/>
        </w:rPr>
        <w:t xml:space="preserve">of a substantive nature. </w:t>
      </w:r>
      <w:r w:rsidR="00894440" w:rsidRPr="00557367">
        <w:rPr>
          <w:lang w:eastAsia="pt-PT"/>
        </w:rPr>
        <w:t xml:space="preserve">A </w:t>
      </w:r>
      <w:r w:rsidR="001A00EA" w:rsidRPr="00557367">
        <w:rPr>
          <w:lang w:eastAsia="pt-PT"/>
        </w:rPr>
        <w:t xml:space="preserve">classical </w:t>
      </w:r>
      <w:r w:rsidR="00894440" w:rsidRPr="00557367">
        <w:rPr>
          <w:lang w:eastAsia="pt-PT"/>
        </w:rPr>
        <w:t xml:space="preserve">thesis </w:t>
      </w:r>
      <w:r w:rsidR="006D1B5C" w:rsidRPr="00557367">
        <w:rPr>
          <w:lang w:eastAsia="pt-PT"/>
        </w:rPr>
        <w:t xml:space="preserve">about </w:t>
      </w:r>
      <w:r w:rsidR="001A00EA" w:rsidRPr="00557367">
        <w:rPr>
          <w:lang w:eastAsia="pt-PT"/>
        </w:rPr>
        <w:t xml:space="preserve">political change in developed countries asserts that </w:t>
      </w:r>
      <w:r w:rsidR="00894440" w:rsidRPr="00557367">
        <w:rPr>
          <w:lang w:eastAsia="pt-PT"/>
        </w:rPr>
        <w:t xml:space="preserve">a process </w:t>
      </w:r>
      <w:r w:rsidR="001A00EA" w:rsidRPr="00557367">
        <w:rPr>
          <w:lang w:eastAsia="pt-PT"/>
        </w:rPr>
        <w:t xml:space="preserve">of </w:t>
      </w:r>
      <w:r w:rsidR="00D76590">
        <w:rPr>
          <w:lang w:eastAsia="pt-PT"/>
        </w:rPr>
        <w:t xml:space="preserve">“nationalization of politics” </w:t>
      </w:r>
      <w:r w:rsidR="00EC4EF3" w:rsidRPr="00557367">
        <w:rPr>
          <w:lang w:eastAsia="pt-PT"/>
        </w:rPr>
        <w:t>dilute</w:t>
      </w:r>
      <w:r w:rsidR="00BB1FF8" w:rsidRPr="00557367">
        <w:rPr>
          <w:lang w:eastAsia="pt-PT"/>
        </w:rPr>
        <w:t>s</w:t>
      </w:r>
      <w:r w:rsidR="00EC4EF3" w:rsidRPr="00557367">
        <w:rPr>
          <w:lang w:eastAsia="pt-PT"/>
        </w:rPr>
        <w:t xml:space="preserve"> local peculiarities </w:t>
      </w:r>
      <w:r w:rsidR="006D1B5C" w:rsidRPr="00557367">
        <w:rPr>
          <w:lang w:eastAsia="pt-PT"/>
        </w:rPr>
        <w:t>and</w:t>
      </w:r>
      <w:r w:rsidR="003E0AB7" w:rsidRPr="00557367">
        <w:rPr>
          <w:lang w:eastAsia="pt-PT"/>
        </w:rPr>
        <w:t>, consequently,</w:t>
      </w:r>
      <w:r w:rsidR="006D1B5C" w:rsidRPr="00557367">
        <w:rPr>
          <w:lang w:eastAsia="pt-PT"/>
        </w:rPr>
        <w:t xml:space="preserve"> their role </w:t>
      </w:r>
      <w:r w:rsidR="003E0AB7" w:rsidRPr="00557367">
        <w:rPr>
          <w:lang w:eastAsia="pt-PT"/>
        </w:rPr>
        <w:t xml:space="preserve">as fosterers of </w:t>
      </w:r>
      <w:r w:rsidR="00EC4EF3" w:rsidRPr="00557367">
        <w:rPr>
          <w:lang w:eastAsia="pt-PT"/>
        </w:rPr>
        <w:t xml:space="preserve">political engagement </w:t>
      </w:r>
      <w:r w:rsidR="00833079" w:rsidRPr="00557367">
        <w:rPr>
          <w:lang w:eastAsia="pt-PT"/>
        </w:rPr>
        <w:fldChar w:fldCharType="begin"/>
      </w:r>
      <w:r w:rsidR="00E40197" w:rsidRPr="00557367">
        <w:rPr>
          <w:lang w:eastAsia="pt-PT"/>
        </w:rPr>
        <w:instrText xml:space="preserve"> ADDIN ZOTERO_ITEM CSL_CITATION {"citationID":"JUlBf8cV","properties":{"formattedCitation":"{\\rtf (Caramani, 2004; Sellers et al., 2013, pp. 1\\uc0\\u8211{}10)}","plainCitation":"(Caramani, 2004; Sellers et al., 2013, pp. 1–10)"},"citationItems":[{"id":14,"uris":["http://zotero.org/users/109723/items/2HDTZPH3"],"uri":["http://zotero.org/users/109723/items/2HDTZPH3"],"itemData":{"id":14,"type":"book","title":"The Nationalization of Politics","publisher":"Cambridge University Press","publisher-place":"Cambridge","event-place":"Cambridge","author":[{"family":"Caramani","given":"Daniele"}],"issued":{"date-parts":[["2004"]]}}},{"id":753,"uris":["http://zotero.org/users/109723/items/T9V585TB"],"uri":["http://zotero.org/users/109723/items/T9V585TB"],"itemData":{"id":753,"type":"book","title":"The political ecology of the metropolis: metropolitan sources of electoral behaviour in eleven countries","publisher":"ECPR Press","publisher-place":"Colchester","source":"Open WorldCat","event-place":"Colchester","ISBN":"978-1-907301-37-7","shortTitle":"The political ecology of the metropolis","language":"English","author":[{"family":"Sellers","given":"Jefferey M"},{"family":"Kübler","given":"Daniel"},{"family":"Walter-Rogg","given":"Melanie"},{"family":"Walks","given":"Robert Alan"}],"issued":{"date-parts":[["2013"]]}},"locator":"1-10"}],"schema":"https://github.com/citation-style-language/schema/raw/master/csl-citation.json"} </w:instrText>
      </w:r>
      <w:r w:rsidR="00833079" w:rsidRPr="00557367">
        <w:rPr>
          <w:lang w:eastAsia="pt-PT"/>
        </w:rPr>
        <w:fldChar w:fldCharType="separate"/>
      </w:r>
      <w:r w:rsidR="00F10CBD" w:rsidRPr="00557367">
        <w:t>(Caramani, 2004; Sellers et al., 2013, pp. 1–10)</w:t>
      </w:r>
      <w:r w:rsidR="00833079" w:rsidRPr="00557367">
        <w:rPr>
          <w:lang w:eastAsia="pt-PT"/>
        </w:rPr>
        <w:fldChar w:fldCharType="end"/>
      </w:r>
      <w:r w:rsidR="00EC4EF3" w:rsidRPr="00557367">
        <w:rPr>
          <w:lang w:eastAsia="pt-PT"/>
        </w:rPr>
        <w:t>.</w:t>
      </w:r>
      <w:r w:rsidR="001A00EA" w:rsidRPr="00557367">
        <w:rPr>
          <w:lang w:eastAsia="pt-PT"/>
        </w:rPr>
        <w:t xml:space="preserve"> </w:t>
      </w:r>
      <w:r w:rsidR="00065AA1" w:rsidRPr="00557367">
        <w:rPr>
          <w:lang w:eastAsia="pt-PT"/>
        </w:rPr>
        <w:t>O</w:t>
      </w:r>
      <w:r w:rsidR="00A12642" w:rsidRPr="00557367">
        <w:rPr>
          <w:lang w:eastAsia="pt-PT"/>
        </w:rPr>
        <w:t xml:space="preserve">ur analysis </w:t>
      </w:r>
      <w:r w:rsidR="00F9278C" w:rsidRPr="00557367">
        <w:rPr>
          <w:lang w:eastAsia="pt-PT"/>
        </w:rPr>
        <w:t>show</w:t>
      </w:r>
      <w:r w:rsidR="00A12642" w:rsidRPr="00557367">
        <w:rPr>
          <w:lang w:eastAsia="pt-PT"/>
        </w:rPr>
        <w:t>s</w:t>
      </w:r>
      <w:r w:rsidR="00F9278C" w:rsidRPr="00557367">
        <w:rPr>
          <w:lang w:eastAsia="pt-PT"/>
        </w:rPr>
        <w:t xml:space="preserve"> </w:t>
      </w:r>
      <w:r w:rsidR="003A0E06" w:rsidRPr="00557367">
        <w:rPr>
          <w:lang w:eastAsia="pt-PT"/>
        </w:rPr>
        <w:t xml:space="preserve">that </w:t>
      </w:r>
      <w:r w:rsidR="001A00EA" w:rsidRPr="00557367">
        <w:rPr>
          <w:lang w:eastAsia="pt-PT"/>
        </w:rPr>
        <w:t xml:space="preserve">the </w:t>
      </w:r>
      <w:r w:rsidR="003A0E06" w:rsidRPr="00557367">
        <w:rPr>
          <w:lang w:eastAsia="pt-PT"/>
        </w:rPr>
        <w:t xml:space="preserve">profile of an </w:t>
      </w:r>
      <w:r w:rsidR="001A00EA" w:rsidRPr="00557367">
        <w:rPr>
          <w:lang w:eastAsia="pt-PT"/>
        </w:rPr>
        <w:t xml:space="preserve">engaged citizen </w:t>
      </w:r>
      <w:r w:rsidR="006D1B5C" w:rsidRPr="00557367">
        <w:rPr>
          <w:lang w:eastAsia="pt-PT"/>
        </w:rPr>
        <w:t>is</w:t>
      </w:r>
      <w:r w:rsidR="001A00EA" w:rsidRPr="00557367">
        <w:rPr>
          <w:lang w:eastAsia="pt-PT"/>
        </w:rPr>
        <w:t xml:space="preserve"> not as </w:t>
      </w:r>
      <w:r w:rsidR="00894440" w:rsidRPr="00557367">
        <w:rPr>
          <w:lang w:eastAsia="pt-PT"/>
        </w:rPr>
        <w:t>rigid</w:t>
      </w:r>
      <w:r w:rsidR="00DB0F77" w:rsidRPr="00557367">
        <w:rPr>
          <w:lang w:eastAsia="pt-PT"/>
        </w:rPr>
        <w:t>ly defined</w:t>
      </w:r>
      <w:r w:rsidR="00894440" w:rsidRPr="00557367">
        <w:rPr>
          <w:lang w:eastAsia="pt-PT"/>
        </w:rPr>
        <w:t xml:space="preserve"> as </w:t>
      </w:r>
      <w:r w:rsidR="00A12642" w:rsidRPr="00557367">
        <w:rPr>
          <w:lang w:eastAsia="pt-PT"/>
        </w:rPr>
        <w:t xml:space="preserve">could be </w:t>
      </w:r>
      <w:r w:rsidR="001A00EA" w:rsidRPr="00557367">
        <w:rPr>
          <w:lang w:eastAsia="pt-PT"/>
        </w:rPr>
        <w:t xml:space="preserve">assumed </w:t>
      </w:r>
      <w:r w:rsidR="00A12642" w:rsidRPr="00557367">
        <w:rPr>
          <w:lang w:eastAsia="pt-PT"/>
        </w:rPr>
        <w:t>if we focus</w:t>
      </w:r>
      <w:r w:rsidR="00904C47">
        <w:rPr>
          <w:lang w:eastAsia="pt-PT"/>
        </w:rPr>
        <w:t>ed</w:t>
      </w:r>
      <w:r w:rsidR="00894440" w:rsidRPr="00557367">
        <w:rPr>
          <w:lang w:eastAsia="pt-PT"/>
        </w:rPr>
        <w:t xml:space="preserve"> </w:t>
      </w:r>
      <w:r w:rsidR="00A95A14" w:rsidRPr="00557367">
        <w:rPr>
          <w:lang w:eastAsia="pt-PT"/>
        </w:rPr>
        <w:t xml:space="preserve">exclusively </w:t>
      </w:r>
      <w:r w:rsidR="002167AA" w:rsidRPr="00557367">
        <w:rPr>
          <w:lang w:eastAsia="pt-PT"/>
        </w:rPr>
        <w:t>o</w:t>
      </w:r>
      <w:r w:rsidR="00A12642" w:rsidRPr="00557367">
        <w:rPr>
          <w:lang w:eastAsia="pt-PT"/>
        </w:rPr>
        <w:t xml:space="preserve">n </w:t>
      </w:r>
      <w:r w:rsidR="001A00EA" w:rsidRPr="00557367">
        <w:rPr>
          <w:lang w:eastAsia="pt-PT"/>
        </w:rPr>
        <w:t xml:space="preserve">the national </w:t>
      </w:r>
      <w:r w:rsidR="00A95A14" w:rsidRPr="00557367">
        <w:rPr>
          <w:lang w:eastAsia="pt-PT"/>
        </w:rPr>
        <w:t>level of politics</w:t>
      </w:r>
      <w:r w:rsidR="001A00EA" w:rsidRPr="00557367">
        <w:rPr>
          <w:lang w:eastAsia="pt-PT"/>
        </w:rPr>
        <w:t xml:space="preserve">. </w:t>
      </w:r>
      <w:r w:rsidR="002167AA" w:rsidRPr="00557367">
        <w:rPr>
          <w:lang w:eastAsia="pt-PT"/>
        </w:rPr>
        <w:t xml:space="preserve">Across </w:t>
      </w:r>
      <w:r w:rsidR="002167AA" w:rsidRPr="00557367">
        <w:rPr>
          <w:lang w:eastAsia="pt-PT"/>
        </w:rPr>
        <w:lastRenderedPageBreak/>
        <w:t xml:space="preserve">Europe, </w:t>
      </w:r>
      <w:r w:rsidR="001D34A9" w:rsidRPr="00557367">
        <w:rPr>
          <w:lang w:eastAsia="pt-PT"/>
        </w:rPr>
        <w:t xml:space="preserve">an important share of </w:t>
      </w:r>
      <w:r w:rsidR="002167AA" w:rsidRPr="00557367">
        <w:rPr>
          <w:lang w:eastAsia="pt-PT"/>
        </w:rPr>
        <w:t xml:space="preserve">individuals </w:t>
      </w:r>
      <w:r w:rsidR="00C4122F" w:rsidRPr="00557367">
        <w:rPr>
          <w:lang w:eastAsia="pt-PT"/>
        </w:rPr>
        <w:t xml:space="preserve">in groups </w:t>
      </w:r>
      <w:r w:rsidR="00904C47">
        <w:rPr>
          <w:lang w:eastAsia="pt-PT"/>
        </w:rPr>
        <w:t xml:space="preserve">that are perceived as more likely to be apathetic </w:t>
      </w:r>
      <w:r w:rsidR="002167AA" w:rsidRPr="00557367">
        <w:rPr>
          <w:lang w:eastAsia="pt-PT"/>
        </w:rPr>
        <w:t xml:space="preserve">towards politics writ large </w:t>
      </w:r>
      <w:r w:rsidR="00C4122F" w:rsidRPr="00557367">
        <w:rPr>
          <w:lang w:eastAsia="pt-PT"/>
        </w:rPr>
        <w:t xml:space="preserve">regularly </w:t>
      </w:r>
      <w:r w:rsidR="002167AA" w:rsidRPr="00557367">
        <w:rPr>
          <w:lang w:eastAsia="pt-PT"/>
        </w:rPr>
        <w:t xml:space="preserve">take part in discussions </w:t>
      </w:r>
      <w:r w:rsidR="0070418B" w:rsidRPr="00557367">
        <w:rPr>
          <w:lang w:eastAsia="pt-PT"/>
        </w:rPr>
        <w:t xml:space="preserve">about local political affairs. Thus, </w:t>
      </w:r>
      <w:r w:rsidR="00141346" w:rsidRPr="00557367">
        <w:rPr>
          <w:lang w:eastAsia="pt-PT"/>
        </w:rPr>
        <w:t xml:space="preserve">in a context of growing disengagement </w:t>
      </w:r>
      <w:r w:rsidR="001D34A9" w:rsidRPr="00557367">
        <w:rPr>
          <w:lang w:eastAsia="pt-PT"/>
        </w:rPr>
        <w:t xml:space="preserve">towards politics </w:t>
      </w:r>
      <w:r w:rsidR="001D34A9" w:rsidRPr="00557367">
        <w:rPr>
          <w:lang w:eastAsia="pt-PT"/>
        </w:rPr>
        <w:fldChar w:fldCharType="begin"/>
      </w:r>
      <w:r w:rsidR="00291B44" w:rsidRPr="00557367">
        <w:rPr>
          <w:lang w:eastAsia="pt-PT"/>
        </w:rPr>
        <w:instrText xml:space="preserve"> ADDIN ZOTERO_ITEM CSL_CITATION {"citationID":"19odp1c8ni","properties":{"formattedCitation":"{\\rtf (D\\uc0\\u275{}m\\uc0\\u275{}triou, 2013, pp. 6\\uc0\\u8211{}7)}","plainCitation":"(Dēmētriou, 2013, pp. 6–7)"},"citationItems":[{"id":2682,"uris":["http://zotero.org/users/109723/items/D35U725X"],"uri":["http://zotero.org/users/109723/items/D35U725X"],"itemData":{"id":2682,"type":"chapter","title":"Introduction","container-title":"Democracy in transition: political participation in the European Union","publisher":"Springer-Verlag","publisher-place":"Heidelberg; New York","source":"Open WorldCat","event-place":"Heidelberg; New York","abstract":"The papers in this collection, written by a cross-regional group of experts, provide insights into the causes of declining levels of citizen participation and other distinct forms of civic activism in Europe and explore a range of factors contributing to apathy and eventually disengagement from vital political processes and institutions. At the same time, this volume examines informal or unconventional types of civic engagement and political participation corresponding to the rapid advances in culture, technology and social networking. The volume is divided into three interrelated parts: Part I consists of critical essays in the form of theoretical approaches to analysing weakening political participation and citizen estrangement; Part II is dedicated to an exploration of the role and deployment of technologically advanced media, such as the internet, as determinants of changing patterns of political participationist behaviour. Finally, Part III presents findings of empirical research on the issue of political participation. Combining theoretical and empirical perspectives, the book contributes towards a better understanding of the disquieting trend of voter apathy and disenchantment with politics in the context of the ongoing process of European integration, and offers a variety of analytical tools for decoding both the emergence of alternative conceptualizations of citizenship and other forms of meaningful civic and political engagement.","URL":"http://public.eblib.com/choice/publicfullrecord.aspx?p=1082483","ISBN":"978-3-642-30068-4","note":"OCLC: 823506544","language":"English","author":[{"family":"Dēmētriou","given":"Kyriakos N"}],"issued":{"date-parts":[["2013"]]},"accessed":{"date-parts":[["2016",9,16]]}},"locator":"6-7"}],"schema":"https://github.com/citation-style-language/schema/raw/master/csl-citation.json"} </w:instrText>
      </w:r>
      <w:r w:rsidR="001D34A9" w:rsidRPr="00557367">
        <w:rPr>
          <w:lang w:eastAsia="pt-PT"/>
        </w:rPr>
        <w:fldChar w:fldCharType="separate"/>
      </w:r>
      <w:r w:rsidR="00291B44" w:rsidRPr="00557367">
        <w:t>(Dēmētriou, 2013, pp. 6–7)</w:t>
      </w:r>
      <w:r w:rsidR="001D34A9" w:rsidRPr="00557367">
        <w:rPr>
          <w:lang w:eastAsia="pt-PT"/>
        </w:rPr>
        <w:fldChar w:fldCharType="end"/>
      </w:r>
      <w:r w:rsidR="00141346" w:rsidRPr="00557367">
        <w:rPr>
          <w:lang w:eastAsia="pt-PT"/>
        </w:rPr>
        <w:t xml:space="preserve">, </w:t>
      </w:r>
      <w:r w:rsidR="00291B44" w:rsidRPr="00557367">
        <w:rPr>
          <w:lang w:eastAsia="pt-PT"/>
        </w:rPr>
        <w:t>the</w:t>
      </w:r>
      <w:r w:rsidR="00141346" w:rsidRPr="00557367">
        <w:rPr>
          <w:lang w:eastAsia="pt-PT"/>
        </w:rPr>
        <w:t xml:space="preserve"> </w:t>
      </w:r>
      <w:r w:rsidR="00291B44" w:rsidRPr="00557367">
        <w:rPr>
          <w:lang w:eastAsia="pt-PT"/>
        </w:rPr>
        <w:t xml:space="preserve">findings presented in </w:t>
      </w:r>
      <w:r w:rsidR="00C4122F" w:rsidRPr="00557367">
        <w:rPr>
          <w:lang w:eastAsia="pt-PT"/>
        </w:rPr>
        <w:t xml:space="preserve">this </w:t>
      </w:r>
      <w:r w:rsidR="00291B44" w:rsidRPr="00557367">
        <w:rPr>
          <w:lang w:eastAsia="pt-PT"/>
        </w:rPr>
        <w:t xml:space="preserve">article </w:t>
      </w:r>
      <w:r w:rsidR="00C4122F" w:rsidRPr="00557367">
        <w:rPr>
          <w:lang w:eastAsia="pt-PT"/>
        </w:rPr>
        <w:t xml:space="preserve">suggest </w:t>
      </w:r>
      <w:r w:rsidR="00141346" w:rsidRPr="00557367">
        <w:rPr>
          <w:lang w:eastAsia="pt-PT"/>
        </w:rPr>
        <w:t xml:space="preserve">that </w:t>
      </w:r>
      <w:r w:rsidR="001D34A9" w:rsidRPr="00557367">
        <w:rPr>
          <w:lang w:eastAsia="pt-PT"/>
        </w:rPr>
        <w:t xml:space="preserve">interest in </w:t>
      </w:r>
      <w:r w:rsidR="0070418B" w:rsidRPr="00557367">
        <w:rPr>
          <w:lang w:eastAsia="pt-PT"/>
        </w:rPr>
        <w:t xml:space="preserve">local </w:t>
      </w:r>
      <w:r w:rsidR="001D34A9" w:rsidRPr="00557367">
        <w:rPr>
          <w:lang w:eastAsia="pt-PT"/>
        </w:rPr>
        <w:t xml:space="preserve">affairs </w:t>
      </w:r>
      <w:r w:rsidR="00291B44" w:rsidRPr="00557367">
        <w:rPr>
          <w:lang w:eastAsia="pt-PT"/>
        </w:rPr>
        <w:t xml:space="preserve">still </w:t>
      </w:r>
      <w:r w:rsidR="00141346" w:rsidRPr="00557367">
        <w:rPr>
          <w:lang w:eastAsia="pt-PT"/>
        </w:rPr>
        <w:t>play</w:t>
      </w:r>
      <w:r w:rsidR="0070418B" w:rsidRPr="00557367">
        <w:rPr>
          <w:lang w:eastAsia="pt-PT"/>
        </w:rPr>
        <w:t xml:space="preserve"> a role in keeping </w:t>
      </w:r>
      <w:r w:rsidR="001D34A9" w:rsidRPr="00557367">
        <w:rPr>
          <w:lang w:eastAsia="pt-PT"/>
        </w:rPr>
        <w:t xml:space="preserve">a </w:t>
      </w:r>
      <w:r w:rsidR="00AC140D">
        <w:rPr>
          <w:lang w:eastAsia="pt-PT"/>
        </w:rPr>
        <w:t xml:space="preserve">sizable </w:t>
      </w:r>
      <w:r w:rsidR="001D34A9" w:rsidRPr="00557367">
        <w:rPr>
          <w:lang w:eastAsia="pt-PT"/>
        </w:rPr>
        <w:t xml:space="preserve">share of </w:t>
      </w:r>
      <w:r w:rsidR="00141346" w:rsidRPr="00557367">
        <w:rPr>
          <w:lang w:eastAsia="pt-PT"/>
        </w:rPr>
        <w:t xml:space="preserve">individuals </w:t>
      </w:r>
      <w:r w:rsidR="0070418B" w:rsidRPr="00557367">
        <w:rPr>
          <w:lang w:eastAsia="pt-PT"/>
        </w:rPr>
        <w:t xml:space="preserve">attached to </w:t>
      </w:r>
      <w:r w:rsidR="00141346" w:rsidRPr="00557367">
        <w:rPr>
          <w:lang w:eastAsia="pt-PT"/>
        </w:rPr>
        <w:t>the political</w:t>
      </w:r>
      <w:r w:rsidR="001D34A9" w:rsidRPr="00557367">
        <w:rPr>
          <w:lang w:eastAsia="pt-PT"/>
        </w:rPr>
        <w:t xml:space="preserve"> realm, even if outside the scope of national politics</w:t>
      </w:r>
      <w:r w:rsidR="00141346" w:rsidRPr="00557367">
        <w:rPr>
          <w:lang w:eastAsia="pt-PT"/>
        </w:rPr>
        <w:t xml:space="preserve">. </w:t>
      </w:r>
      <w:r w:rsidR="00C4122F" w:rsidRPr="00557367">
        <w:rPr>
          <w:lang w:eastAsia="pt-PT"/>
        </w:rPr>
        <w:t xml:space="preserve">This </w:t>
      </w:r>
      <w:r w:rsidR="00AC140D">
        <w:rPr>
          <w:lang w:eastAsia="pt-PT"/>
        </w:rPr>
        <w:t xml:space="preserve">effect </w:t>
      </w:r>
      <w:r w:rsidR="00C4122F" w:rsidRPr="00557367">
        <w:rPr>
          <w:lang w:eastAsia="pt-PT"/>
        </w:rPr>
        <w:t>of local political engagement should not be overlooked.</w:t>
      </w:r>
    </w:p>
    <w:p w14:paraId="08E4444C" w14:textId="0E2E8E8D" w:rsidR="009268FC" w:rsidRPr="00557367" w:rsidRDefault="00EB1A0C" w:rsidP="00813421">
      <w:pPr>
        <w:ind w:firstLine="708"/>
      </w:pPr>
      <w:r w:rsidRPr="00557367">
        <w:rPr>
          <w:lang w:eastAsia="pt-PT"/>
        </w:rPr>
        <w:t xml:space="preserve">The </w:t>
      </w:r>
      <w:r w:rsidR="00157449" w:rsidRPr="00557367">
        <w:rPr>
          <w:lang w:eastAsia="pt-PT"/>
        </w:rPr>
        <w:t xml:space="preserve">second implication </w:t>
      </w:r>
      <w:r w:rsidR="00065AA1" w:rsidRPr="00557367">
        <w:rPr>
          <w:lang w:eastAsia="pt-PT"/>
        </w:rPr>
        <w:t xml:space="preserve">is </w:t>
      </w:r>
      <w:r w:rsidRPr="00557367">
        <w:rPr>
          <w:lang w:eastAsia="pt-PT"/>
        </w:rPr>
        <w:t xml:space="preserve">methodological </w:t>
      </w:r>
      <w:r w:rsidR="00A86552" w:rsidRPr="00557367">
        <w:rPr>
          <w:lang w:eastAsia="pt-PT"/>
        </w:rPr>
        <w:t xml:space="preserve">and </w:t>
      </w:r>
      <w:r w:rsidR="00B811F7" w:rsidRPr="00557367">
        <w:rPr>
          <w:lang w:eastAsia="pt-PT"/>
        </w:rPr>
        <w:t xml:space="preserve">is </w:t>
      </w:r>
      <w:r w:rsidR="00A86552" w:rsidRPr="00557367">
        <w:rPr>
          <w:lang w:eastAsia="pt-PT"/>
        </w:rPr>
        <w:t>relate</w:t>
      </w:r>
      <w:r w:rsidR="00B811F7" w:rsidRPr="00557367">
        <w:rPr>
          <w:lang w:eastAsia="pt-PT"/>
        </w:rPr>
        <w:t>d</w:t>
      </w:r>
      <w:r w:rsidR="00A86552" w:rsidRPr="00557367">
        <w:rPr>
          <w:lang w:eastAsia="pt-PT"/>
        </w:rPr>
        <w:t xml:space="preserve"> to the underlying assumptions that </w:t>
      </w:r>
      <w:r w:rsidR="000162D1" w:rsidRPr="00557367">
        <w:rPr>
          <w:lang w:eastAsia="pt-PT"/>
        </w:rPr>
        <w:t xml:space="preserve">members of </w:t>
      </w:r>
      <w:r w:rsidR="00A86552" w:rsidRPr="00557367">
        <w:rPr>
          <w:lang w:eastAsia="pt-PT"/>
        </w:rPr>
        <w:t xml:space="preserve">the public may hold when answering questions about their political engagement. Indeed, </w:t>
      </w:r>
      <w:r w:rsidR="00A86552" w:rsidRPr="00557367">
        <w:t xml:space="preserve">the bias towards </w:t>
      </w:r>
      <w:r w:rsidR="00BB1FF8" w:rsidRPr="00557367">
        <w:t xml:space="preserve">identifying politics exclusively with </w:t>
      </w:r>
      <w:r w:rsidR="00A86552" w:rsidRPr="00557367">
        <w:t xml:space="preserve">the national level </w:t>
      </w:r>
      <w:r w:rsidR="00BB1FF8" w:rsidRPr="00557367">
        <w:t xml:space="preserve">of politics may not be restricted to </w:t>
      </w:r>
      <w:r w:rsidR="00A86552" w:rsidRPr="00557367">
        <w:t xml:space="preserve">authors. </w:t>
      </w:r>
      <w:r w:rsidR="00611FCB" w:rsidRPr="00557367">
        <w:rPr>
          <w:lang w:eastAsia="pt-PT"/>
        </w:rPr>
        <w:t>Our</w:t>
      </w:r>
      <w:r w:rsidR="00A12642" w:rsidRPr="00557367">
        <w:rPr>
          <w:lang w:eastAsia="pt-PT"/>
        </w:rPr>
        <w:t xml:space="preserve"> </w:t>
      </w:r>
      <w:r w:rsidR="00A86552" w:rsidRPr="00557367">
        <w:rPr>
          <w:lang w:eastAsia="pt-PT"/>
        </w:rPr>
        <w:t xml:space="preserve">results </w:t>
      </w:r>
      <w:r w:rsidR="00A12642" w:rsidRPr="00557367">
        <w:rPr>
          <w:lang w:eastAsia="pt-PT"/>
        </w:rPr>
        <w:t xml:space="preserve">signal </w:t>
      </w:r>
      <w:r w:rsidR="00204F51" w:rsidRPr="00557367">
        <w:rPr>
          <w:lang w:eastAsia="pt-PT"/>
        </w:rPr>
        <w:t xml:space="preserve">that determinants </w:t>
      </w:r>
      <w:r w:rsidR="00A86552" w:rsidRPr="00557367">
        <w:rPr>
          <w:lang w:eastAsia="pt-PT"/>
        </w:rPr>
        <w:t xml:space="preserve">of </w:t>
      </w:r>
      <w:r w:rsidR="00496149" w:rsidRPr="00557367">
        <w:rPr>
          <w:lang w:eastAsia="pt-PT"/>
        </w:rPr>
        <w:t xml:space="preserve">discussion about </w:t>
      </w:r>
      <w:r w:rsidR="00E41ED3" w:rsidRPr="00557367">
        <w:rPr>
          <w:lang w:eastAsia="pt-PT"/>
        </w:rPr>
        <w:t>national politics</w:t>
      </w:r>
      <w:r w:rsidR="00BB1FF8" w:rsidRPr="00557367">
        <w:rPr>
          <w:lang w:eastAsia="pt-PT"/>
        </w:rPr>
        <w:t xml:space="preserve">, more than those </w:t>
      </w:r>
      <w:r w:rsidR="00496149" w:rsidRPr="00557367">
        <w:rPr>
          <w:lang w:eastAsia="pt-PT"/>
        </w:rPr>
        <w:t>for discussion</w:t>
      </w:r>
      <w:r w:rsidR="00E41ED3" w:rsidRPr="00557367">
        <w:rPr>
          <w:lang w:eastAsia="pt-PT"/>
        </w:rPr>
        <w:t xml:space="preserve"> of local matters</w:t>
      </w:r>
      <w:r w:rsidR="00BB1FF8" w:rsidRPr="00557367">
        <w:rPr>
          <w:lang w:eastAsia="pt-PT"/>
        </w:rPr>
        <w:t xml:space="preserve">, </w:t>
      </w:r>
      <w:r w:rsidR="00A86552" w:rsidRPr="00557367">
        <w:rPr>
          <w:lang w:eastAsia="pt-PT"/>
        </w:rPr>
        <w:t xml:space="preserve">are in line with the </w:t>
      </w:r>
      <w:r w:rsidR="00496149" w:rsidRPr="00557367">
        <w:rPr>
          <w:lang w:eastAsia="pt-PT"/>
        </w:rPr>
        <w:t xml:space="preserve">explanatory variables </w:t>
      </w:r>
      <w:r w:rsidR="00A86552" w:rsidRPr="00557367">
        <w:rPr>
          <w:lang w:eastAsia="pt-PT"/>
        </w:rPr>
        <w:t xml:space="preserve">of generalist political </w:t>
      </w:r>
      <w:r w:rsidR="00496149" w:rsidRPr="00557367">
        <w:rPr>
          <w:lang w:eastAsia="pt-PT"/>
        </w:rPr>
        <w:t xml:space="preserve">discussion </w:t>
      </w:r>
      <w:r w:rsidR="00833079" w:rsidRPr="00557367">
        <w:rPr>
          <w:lang w:eastAsia="pt-PT"/>
        </w:rPr>
        <w:fldChar w:fldCharType="begin"/>
      </w:r>
      <w:r w:rsidR="00E40197" w:rsidRPr="00557367">
        <w:rPr>
          <w:lang w:eastAsia="pt-PT"/>
        </w:rPr>
        <w:instrText xml:space="preserve"> ADDIN ZOTERO_ITEM CSL_CITATION {"citationID":"aAM7SlXD","properties":{"formattedCitation":"(Sanders and Bellucci, 2012; van Deth and Elff, 2004)","plainCitation":"(Sanders and Bellucci, 2012; van Deth and Elff, 2004)"},"citationItems":[{"id":710,"uris":["http://zotero.org/users/109723/items/RRAEANFN"],"uri":["http://zotero.org/users/109723/items/RRAEANFN"],"itemData":{"id":710,"type":"article-journal","title":"Politicisation, economic development and political interest in Europe","container-title":"European Journal of Political Research","page":"477-508","volume":"43","issue":"3","source":"Wiley Online Library","abstract":"Abstract.  Political interest is usually depicted as an individual attribute that can be explained by referring to the resources and skills of citizens. The analyses presented here are based on a critical assessment of the explanatory power of these approaches in cross-national and longitudinal comparisons. A contextual model is presented emphasising the relevance of distinct degrees of politicisation and economic development in different societies in addition to traditional sociodemographic factors (education, date of birth and gender) at the microlevel. The resulting multilevel model combines both individual and contextual factors to explain the cross-national differences and changes in political involvement and apathy in Europe in the last three decades. The politicisation thesis, which states that the level of political interest among citizens is an increasing function of the relevance of societal and political arrangements in a society, is not supported by the empirical findings presented here. The most noteworthy conclusion is the remarkable disappearance of the impact of societal politicisation when the level of economic development of each country is included in multilevel models. The level of political interest, then, clearly depends on the level of economic development.","DOI":"10.1111/j.1475-6765.2004.00162.x","ISSN":"1475-6765","language":"en","author":[{"family":"Deth","given":"Jan","non-dropping-particle":"van"},{"family":"Elff","given":"Martin"}],"issued":{"date-parts":[["2004"]]}}},{"id":47,"uris":["http://zotero.org/users/109723/items/3IQ5AG3B"],"uri":["http://zotero.org/users/109723/items/3IQ5AG3B"],"itemData":{"id":47,"type":"chapter","title":"Informal Political Engagement in Europe, 1975–2007","container-title":"Citizens and the European Polity","publisher":"Oxford University Press","publisher-place":"Oxford","page":"39-64","source":"CrossRef","event-place":"Oxford","URL":"http://oxfordindex.oup.com/view/10.1093/acprof:oso/9780199602339.003.0003","ISBN":"978-0-19-960233-9","editor":[{"family":"Sanders","given":"David"},{"family":"Magalhães","given":"Pedro"},{"family":"Toka","given":"Gabor"}],"author":[{"family":"Sanders","given":"David"},{"family":"Bellucci","given":"Paolo"}],"issued":{"date-parts":[["2012",7,26]]},"accessed":{"date-parts":[["2015",2,5]]}}}],"schema":"https://github.com/citation-style-language/schema/raw/master/csl-citation.json"} </w:instrText>
      </w:r>
      <w:r w:rsidR="00833079" w:rsidRPr="00557367">
        <w:rPr>
          <w:lang w:eastAsia="pt-PT"/>
        </w:rPr>
        <w:fldChar w:fldCharType="separate"/>
      </w:r>
      <w:r w:rsidR="00F10CBD" w:rsidRPr="00557367">
        <w:t>(Sanders and Bellucci, 2012; van Deth and Elff, 2004)</w:t>
      </w:r>
      <w:r w:rsidR="00833079" w:rsidRPr="00557367">
        <w:rPr>
          <w:lang w:eastAsia="pt-PT"/>
        </w:rPr>
        <w:fldChar w:fldCharType="end"/>
      </w:r>
      <w:r w:rsidR="00A86552" w:rsidRPr="00557367">
        <w:rPr>
          <w:lang w:eastAsia="pt-PT"/>
        </w:rPr>
        <w:t xml:space="preserve">. </w:t>
      </w:r>
      <w:r w:rsidR="00611FCB" w:rsidRPr="00557367">
        <w:t xml:space="preserve">As </w:t>
      </w:r>
      <w:proofErr w:type="spellStart"/>
      <w:r w:rsidR="002321DD" w:rsidRPr="00557367">
        <w:t>Fizgerald</w:t>
      </w:r>
      <w:proofErr w:type="spellEnd"/>
      <w:r w:rsidR="002321DD" w:rsidRPr="00557367">
        <w:t xml:space="preserve"> </w:t>
      </w:r>
      <w:r w:rsidR="00833079" w:rsidRPr="00557367">
        <w:fldChar w:fldCharType="begin"/>
      </w:r>
      <w:r w:rsidR="00E40197" w:rsidRPr="00557367">
        <w:instrText xml:space="preserve"> ADDIN ZOTERO_ITEM CSL_CITATION {"citationID":"pNoyhhpD","properties":{"formattedCitation":"(2013)","plainCitation":"(2013)"},"citationItems":[{"id":189,"uris":["http://zotero.org/users/109723/items/8CPDAMCH"],"uri":["http://zotero.org/users/109723/items/8CPDAMCH"],"itemData":{"id":189,"type":"article-journal","title":"What does Political Mean to You?","container-title":"Political Behavior","page":"453-479","volume":"35","issue":"3","source":"CrossRef","DOI":"10.1007/s11109-012-9212-2","ISSN":"0190-9320, 1573-6687","language":"en","author":[{"family":"Fitzgerald","given":"Jennifer"}],"issued":{"date-parts":[["2013",9]]}},"suppress-author":true}],"schema":"https://github.com/citation-style-language/schema/raw/master/csl-citation.json"} </w:instrText>
      </w:r>
      <w:r w:rsidR="00833079" w:rsidRPr="00557367">
        <w:fldChar w:fldCharType="separate"/>
      </w:r>
      <w:r w:rsidR="00F10CBD" w:rsidRPr="00557367">
        <w:t>(2013)</w:t>
      </w:r>
      <w:r w:rsidR="00833079" w:rsidRPr="00557367">
        <w:fldChar w:fldCharType="end"/>
      </w:r>
      <w:r w:rsidR="00990AA5" w:rsidRPr="00557367">
        <w:t xml:space="preserve"> </w:t>
      </w:r>
      <w:r w:rsidR="00611FCB" w:rsidRPr="00557367">
        <w:t>demonstrates,</w:t>
      </w:r>
      <w:r w:rsidR="002321DD" w:rsidRPr="00557367">
        <w:t xml:space="preserve"> </w:t>
      </w:r>
      <w:r w:rsidR="00686CC9" w:rsidRPr="00557367">
        <w:t xml:space="preserve">a diversity of parallel </w:t>
      </w:r>
      <w:r w:rsidR="002321DD" w:rsidRPr="00557367">
        <w:t xml:space="preserve">conceptions of what is </w:t>
      </w:r>
      <w:r w:rsidR="00686CC9" w:rsidRPr="00557367">
        <w:t xml:space="preserve">and is not </w:t>
      </w:r>
      <w:r w:rsidR="002321DD" w:rsidRPr="00557367">
        <w:t>p</w:t>
      </w:r>
      <w:r w:rsidR="00B739A9" w:rsidRPr="00557367">
        <w:t>olitical</w:t>
      </w:r>
      <w:r w:rsidR="00686CC9" w:rsidRPr="00557367">
        <w:t xml:space="preserve"> might coexist</w:t>
      </w:r>
      <w:r w:rsidR="00E105C2" w:rsidRPr="00557367">
        <w:t xml:space="preserve"> </w:t>
      </w:r>
      <w:r w:rsidR="00204F51" w:rsidRPr="00557367">
        <w:t xml:space="preserve">across </w:t>
      </w:r>
      <w:r w:rsidR="00E105C2" w:rsidRPr="00557367">
        <w:t>the public</w:t>
      </w:r>
      <w:r w:rsidR="00611FCB" w:rsidRPr="00557367">
        <w:t>; nevertheless,</w:t>
      </w:r>
      <w:r w:rsidR="00B739A9" w:rsidRPr="00557367">
        <w:t xml:space="preserve"> </w:t>
      </w:r>
      <w:r w:rsidR="005B2C4F" w:rsidRPr="00557367">
        <w:t xml:space="preserve">the </w:t>
      </w:r>
      <w:r w:rsidR="007F1720" w:rsidRPr="00557367">
        <w:t xml:space="preserve">performance of our model </w:t>
      </w:r>
      <w:r w:rsidR="00496149" w:rsidRPr="00557367">
        <w:t xml:space="preserve">suggests that generalist studies may capture an </w:t>
      </w:r>
      <w:r w:rsidR="00B739A9" w:rsidRPr="00557367">
        <w:t xml:space="preserve">underlying </w:t>
      </w:r>
      <w:r w:rsidR="005B2C4F" w:rsidRPr="00557367">
        <w:t xml:space="preserve">conception </w:t>
      </w:r>
      <w:r w:rsidR="00496149" w:rsidRPr="00557367">
        <w:t xml:space="preserve">of  </w:t>
      </w:r>
      <w:r w:rsidR="005B2C4F" w:rsidRPr="00557367">
        <w:t>“</w:t>
      </w:r>
      <w:r w:rsidR="00686CC9" w:rsidRPr="00557367">
        <w:t>politics</w:t>
      </w:r>
      <w:r w:rsidR="005B2C4F" w:rsidRPr="00557367">
        <w:t>”</w:t>
      </w:r>
      <w:r w:rsidR="00686CC9" w:rsidRPr="00557367">
        <w:t xml:space="preserve"> </w:t>
      </w:r>
      <w:r w:rsidR="00496149" w:rsidRPr="00557367">
        <w:t xml:space="preserve">that identifies it </w:t>
      </w:r>
      <w:r w:rsidR="00990AA5" w:rsidRPr="00557367">
        <w:t xml:space="preserve">essentially </w:t>
      </w:r>
      <w:r w:rsidR="00686CC9" w:rsidRPr="00557367">
        <w:t>with the national scale</w:t>
      </w:r>
      <w:r w:rsidR="002321DD" w:rsidRPr="00557367">
        <w:t>.</w:t>
      </w:r>
      <w:r w:rsidR="00B739A9" w:rsidRPr="00557367">
        <w:t xml:space="preserve"> </w:t>
      </w:r>
      <w:r w:rsidR="00496149" w:rsidRPr="00557367">
        <w:t xml:space="preserve">In order to avoid </w:t>
      </w:r>
      <w:r w:rsidR="00AC140D">
        <w:t>crystallising</w:t>
      </w:r>
      <w:r w:rsidR="00BD0F9A" w:rsidRPr="00557367">
        <w:t xml:space="preserve"> </w:t>
      </w:r>
      <w:r w:rsidR="0087600C" w:rsidRPr="00557367">
        <w:t xml:space="preserve">an </w:t>
      </w:r>
      <w:r w:rsidR="00BD0F9A" w:rsidRPr="00557367">
        <w:t xml:space="preserve">identification of politics with only one of its territorial axes, </w:t>
      </w:r>
      <w:r w:rsidR="00E41ED3" w:rsidRPr="00557367">
        <w:t>more research should keep into account investm</w:t>
      </w:r>
      <w:r w:rsidR="00065AA1" w:rsidRPr="00557367">
        <w:t xml:space="preserve">ent in those different spheres. While this approach has already been followed in studies about voter turnout and party choice </w:t>
      </w:r>
      <w:r w:rsidR="00305A95">
        <w:t>in</w:t>
      </w:r>
      <w:r w:rsidR="00065AA1" w:rsidRPr="00557367">
        <w:t xml:space="preserve"> local elections </w:t>
      </w:r>
      <w:r w:rsidR="00065AA1" w:rsidRPr="00557367">
        <w:fldChar w:fldCharType="begin"/>
      </w:r>
      <w:r w:rsidR="00065AA1" w:rsidRPr="00557367">
        <w:instrText xml:space="preserve"> ADDIN ZOTERO_ITEM CSL_CITATION {"citationID":"idriii1eb","properties":{"formattedCitation":"(Lefevere and Van Aelst, 2014; Marien et al., 2015)","plainCitation":"(Lefevere and Van Aelst, 2014; Marien et al., 2015)"},"citationItems":[{"id":82,"uris":["http://zotero.org/users/109723/items/5682XRDS"],"uri":["http://zotero.org/users/109723/items/5682XRDS"],"itemData":{"id":82,"type":"article-journal","title":"First-order, second-order or third-rate? A comparison of turnout in European, local and national elections in the Netherlands","container-title":"Electoral Studies","page":"159-170","volume":"35","source":"ScienceDirect","abstract":"Second-order elections are characterized by low turnout. According to the second-order theory this is because people feel there is less at stake. This study tests whether the less at stake argument holds at the macro and micro level using panel survey data obtained in three different Dutch elections. Furthermore, it examines whether campaigns' mobilizing potential differs between first- and second-order elections. We find that at the macro level perceived stakes and low turnout go hand in hand and differ strongly between national, local and European elections. At the micro level the impact of perceived stakes on turnout is limited and contingent on the type of election. Also, campaign exposure affects turnout, but the effect is substantially larger in second-order contests.","DOI":"10.1016/j.electstud.2014.06.005","ISSN":"0261-3794","shortTitle":"First-order, second-order or third-rate?","journalAbbreviation":"Electoral Studies","author":[{"family":"Lefevere","given":"Jonas"},{"family":"Van Aelst","given":"Peter"}],"issued":{"date-parts":[["2014",9]]}}},{"id":2002,"uris":["http://zotero.org/users/109723/items/G8GA3WA5"],"uri":["http://zotero.org/users/109723/items/G8GA3WA5"],"itemData":{"id":2002,"type":"article-journal","title":"How Second Order Are Local Elections? Voting Motives and Party Preferences in Belgian Municipal Elections","container-title":"Local Government Studies","page":"898-916","volume":"41","issue":"6","source":"Taylor and Francis+NEJM","abstract":"A defining characteristic of second-order elections is that voters base their decision on considerations that were developed for a different policy level. Therefore, this kind of elections does not contribute to the quality of democratic representation. Municipal elections are often considered as second-order elections. In this article, we use data from an exit poll (n = 4,591) held during the 2012 municipal elections in Belgium. Results suggest that although voters predominantly invoke local aspects as determining their vote choice, still three-quarters votes for the same party locally as for federal elections. Among voters who deviate from their federal party preference, knowing local candidates and concern about local policy issues are the main sources of deviation. The conclusion therefore is that local candidates do make a difference and contribute strongly to the salience of electoral decisions on the local level.","DOI":"10.1080/03003930.2015.1048230","ISSN":"0300-3930","shortTitle":"How Second Order Are Local Elections?","author":[{"family":"Marien","given":"Sofie"},{"family":"Dassonneville","given":"Ruth"},{"family":"Hooghe","given":"Marc"}],"issued":{"date-parts":[["2015",11,2]]}}}],"schema":"https://github.com/citation-style-language/schema/raw/master/csl-citation.json"} </w:instrText>
      </w:r>
      <w:r w:rsidR="00065AA1" w:rsidRPr="00557367">
        <w:fldChar w:fldCharType="separate"/>
      </w:r>
      <w:r w:rsidR="00065AA1" w:rsidRPr="00557367">
        <w:t>(Lefevere and Van Aelst, 2014; Marien et al., 2015)</w:t>
      </w:r>
      <w:r w:rsidR="00065AA1" w:rsidRPr="00557367">
        <w:fldChar w:fldCharType="end"/>
      </w:r>
      <w:r w:rsidR="00065AA1" w:rsidRPr="00557367">
        <w:t xml:space="preserve">, it should be extended to other dimensions of political behaviour. One direction that might prove </w:t>
      </w:r>
      <w:r w:rsidR="00305A95">
        <w:t xml:space="preserve">particularly </w:t>
      </w:r>
      <w:r w:rsidR="00AC140D">
        <w:t xml:space="preserve">fruitful in the future </w:t>
      </w:r>
      <w:r w:rsidR="00065AA1" w:rsidRPr="00557367">
        <w:t xml:space="preserve">is </w:t>
      </w:r>
      <w:r w:rsidR="00AC140D">
        <w:t xml:space="preserve">analysing whether </w:t>
      </w:r>
      <w:r w:rsidR="00065AA1" w:rsidRPr="00557367">
        <w:t xml:space="preserve">individuals </w:t>
      </w:r>
      <w:r w:rsidR="00AC140D">
        <w:t>who exhibit</w:t>
      </w:r>
      <w:r w:rsidR="00065AA1" w:rsidRPr="00557367">
        <w:t xml:space="preserve"> different profiles </w:t>
      </w:r>
      <w:r w:rsidR="00AC140D">
        <w:t xml:space="preserve">are involved in different </w:t>
      </w:r>
      <w:r w:rsidR="00065AA1" w:rsidRPr="00557367">
        <w:t>mo</w:t>
      </w:r>
      <w:r w:rsidR="00AC140D">
        <w:t xml:space="preserve">des of political participation. </w:t>
      </w:r>
    </w:p>
    <w:p w14:paraId="08E4444D" w14:textId="3CFF4F8E" w:rsidR="00485079" w:rsidRPr="00557367" w:rsidRDefault="00CA4C40" w:rsidP="00813421">
      <w:r w:rsidRPr="00557367">
        <w:t>I</w:t>
      </w:r>
      <w:r w:rsidR="005B2C4F" w:rsidRPr="00557367">
        <w:t>t should be clear that w</w:t>
      </w:r>
      <w:r w:rsidR="00485079" w:rsidRPr="00557367">
        <w:t xml:space="preserve">e do not advocate </w:t>
      </w:r>
      <w:r w:rsidR="00C42DCE" w:rsidRPr="00557367">
        <w:t>that focus</w:t>
      </w:r>
      <w:r w:rsidR="005B2C4F" w:rsidRPr="00557367">
        <w:t>ing</w:t>
      </w:r>
      <w:r w:rsidR="00C42DCE" w:rsidRPr="00557367">
        <w:t xml:space="preserve"> </w:t>
      </w:r>
      <w:r w:rsidR="00485079" w:rsidRPr="00557367">
        <w:t xml:space="preserve">only on the national level of politics or </w:t>
      </w:r>
      <w:r w:rsidR="00E41ED3" w:rsidRPr="00557367">
        <w:t xml:space="preserve">that </w:t>
      </w:r>
      <w:r w:rsidR="00485079" w:rsidRPr="00557367">
        <w:t>embrac</w:t>
      </w:r>
      <w:r w:rsidR="005B2C4F" w:rsidRPr="00557367">
        <w:t>ing</w:t>
      </w:r>
      <w:r w:rsidR="00485079" w:rsidRPr="00557367">
        <w:t xml:space="preserve"> a generalist perspective </w:t>
      </w:r>
      <w:r w:rsidR="00C42DCE" w:rsidRPr="00557367">
        <w:t xml:space="preserve">are </w:t>
      </w:r>
      <w:r w:rsidR="00485079" w:rsidRPr="00557367">
        <w:t>malpractice</w:t>
      </w:r>
      <w:r w:rsidR="005B2C4F" w:rsidRPr="00557367">
        <w:t>s</w:t>
      </w:r>
      <w:r w:rsidR="00204F51" w:rsidRPr="00557367">
        <w:t xml:space="preserve"> </w:t>
      </w:r>
      <w:r w:rsidR="001D28D6" w:rsidRPr="00557367">
        <w:t xml:space="preserve">in </w:t>
      </w:r>
      <w:r w:rsidR="00204F51" w:rsidRPr="00557367">
        <w:t>the study political engagement</w:t>
      </w:r>
      <w:r w:rsidR="00485079" w:rsidRPr="00557367">
        <w:t xml:space="preserve">. </w:t>
      </w:r>
      <w:r w:rsidR="007E5A73" w:rsidRPr="00557367">
        <w:t>Indeed</w:t>
      </w:r>
      <w:r w:rsidR="00485079" w:rsidRPr="00557367">
        <w:t xml:space="preserve">, </w:t>
      </w:r>
      <w:r w:rsidR="00C42DCE" w:rsidRPr="00557367">
        <w:t xml:space="preserve">either </w:t>
      </w:r>
      <w:r w:rsidR="00485079" w:rsidRPr="00557367">
        <w:t xml:space="preserve">approach </w:t>
      </w:r>
      <w:r w:rsidR="00C42DCE" w:rsidRPr="00557367">
        <w:t>may be the most fruitful in light of researcher</w:t>
      </w:r>
      <w:r w:rsidR="00485079" w:rsidRPr="00557367">
        <w:t>s</w:t>
      </w:r>
      <w:r w:rsidR="005B2C4F" w:rsidRPr="00557367">
        <w:t>’</w:t>
      </w:r>
      <w:r w:rsidR="00485079" w:rsidRPr="00557367">
        <w:t xml:space="preserve"> </w:t>
      </w:r>
      <w:r w:rsidR="00F43F01" w:rsidRPr="00557367">
        <w:t xml:space="preserve">particular </w:t>
      </w:r>
      <w:r w:rsidR="00485079" w:rsidRPr="00557367">
        <w:t xml:space="preserve">goals. However, by invariably </w:t>
      </w:r>
      <w:r w:rsidR="005B2C4F" w:rsidRPr="00557367">
        <w:t>following</w:t>
      </w:r>
      <w:r w:rsidR="00485079" w:rsidRPr="00557367">
        <w:t xml:space="preserve"> either of these strategies we may end up ignoring </w:t>
      </w:r>
      <w:r w:rsidR="00F8490C" w:rsidRPr="00557367">
        <w:t xml:space="preserve">important shades of how citizens practice their </w:t>
      </w:r>
      <w:r w:rsidR="000162D1" w:rsidRPr="00557367">
        <w:t>democratic citizenship.</w:t>
      </w:r>
    </w:p>
    <w:p w14:paraId="08E4444E" w14:textId="77777777" w:rsidR="00F8490C" w:rsidRPr="00557367" w:rsidRDefault="00F8490C" w:rsidP="00813421">
      <w:pPr>
        <w:spacing w:line="480" w:lineRule="auto"/>
        <w:ind w:firstLine="0"/>
        <w:rPr>
          <w:b/>
        </w:rPr>
      </w:pPr>
    </w:p>
    <w:p w14:paraId="08E4447F" w14:textId="77777777" w:rsidR="00F10CBD" w:rsidRPr="00557367" w:rsidRDefault="00F10CBD" w:rsidP="00813421"/>
    <w:p w14:paraId="08E44480" w14:textId="77777777" w:rsidR="00F10CBD" w:rsidRPr="00557367" w:rsidRDefault="00F10CBD" w:rsidP="00813421">
      <w:pPr>
        <w:ind w:firstLine="0"/>
        <w:rPr>
          <w:b/>
          <w:sz w:val="20"/>
        </w:rPr>
      </w:pPr>
      <w:r w:rsidRPr="00557367">
        <w:rPr>
          <w:b/>
          <w:sz w:val="20"/>
        </w:rPr>
        <w:t>Table 1. Profiles of engagement across territorial levels</w:t>
      </w:r>
    </w:p>
    <w:tbl>
      <w:tblPr>
        <w:tblStyle w:val="TableGrid"/>
        <w:tblW w:w="8186" w:type="dxa"/>
        <w:tblInd w:w="426" w:type="dxa"/>
        <w:tblLook w:val="04A0" w:firstRow="1" w:lastRow="0" w:firstColumn="1" w:lastColumn="0" w:noHBand="0" w:noVBand="1"/>
      </w:tblPr>
      <w:tblGrid>
        <w:gridCol w:w="2126"/>
        <w:gridCol w:w="1845"/>
        <w:gridCol w:w="1428"/>
        <w:gridCol w:w="1407"/>
        <w:gridCol w:w="1380"/>
      </w:tblGrid>
      <w:tr w:rsidR="00F10CBD" w:rsidRPr="00557367" w14:paraId="08E44483" w14:textId="77777777" w:rsidTr="00EB7F07">
        <w:trPr>
          <w:trHeight w:val="276"/>
        </w:trPr>
        <w:tc>
          <w:tcPr>
            <w:tcW w:w="3971" w:type="dxa"/>
            <w:gridSpan w:val="2"/>
            <w:vMerge w:val="restart"/>
            <w:tcBorders>
              <w:top w:val="nil"/>
              <w:left w:val="nil"/>
              <w:bottom w:val="nil"/>
              <w:right w:val="nil"/>
            </w:tcBorders>
          </w:tcPr>
          <w:p w14:paraId="08E44481" w14:textId="77777777" w:rsidR="00F10CBD" w:rsidRPr="00557367" w:rsidRDefault="00F10CBD" w:rsidP="00813421">
            <w:pPr>
              <w:spacing w:line="240" w:lineRule="auto"/>
              <w:ind w:firstLine="0"/>
              <w:rPr>
                <w:sz w:val="20"/>
              </w:rPr>
            </w:pPr>
          </w:p>
        </w:tc>
        <w:tc>
          <w:tcPr>
            <w:tcW w:w="4215" w:type="dxa"/>
            <w:gridSpan w:val="3"/>
            <w:tcBorders>
              <w:top w:val="double" w:sz="4" w:space="0" w:color="auto"/>
              <w:left w:val="nil"/>
              <w:bottom w:val="nil"/>
              <w:right w:val="nil"/>
            </w:tcBorders>
          </w:tcPr>
          <w:p w14:paraId="08E44482" w14:textId="77777777" w:rsidR="00F10CBD" w:rsidRPr="00557367" w:rsidRDefault="00F10CBD" w:rsidP="00813421">
            <w:pPr>
              <w:spacing w:line="240" w:lineRule="auto"/>
              <w:ind w:firstLine="0"/>
              <w:rPr>
                <w:sz w:val="20"/>
              </w:rPr>
            </w:pPr>
            <w:proofErr w:type="gramStart"/>
            <w:r w:rsidRPr="00557367">
              <w:rPr>
                <w:sz w:val="20"/>
              </w:rPr>
              <w:t>Local  matters</w:t>
            </w:r>
            <w:proofErr w:type="gramEnd"/>
          </w:p>
        </w:tc>
      </w:tr>
      <w:tr w:rsidR="00F10CBD" w:rsidRPr="00557367" w14:paraId="08E44488" w14:textId="77777777" w:rsidTr="00A47365">
        <w:trPr>
          <w:trHeight w:val="276"/>
        </w:trPr>
        <w:tc>
          <w:tcPr>
            <w:tcW w:w="3971" w:type="dxa"/>
            <w:gridSpan w:val="2"/>
            <w:vMerge/>
            <w:tcBorders>
              <w:top w:val="nil"/>
              <w:left w:val="nil"/>
              <w:bottom w:val="single" w:sz="4" w:space="0" w:color="auto"/>
              <w:right w:val="nil"/>
            </w:tcBorders>
          </w:tcPr>
          <w:p w14:paraId="08E44484" w14:textId="77777777" w:rsidR="00F10CBD" w:rsidRPr="00557367" w:rsidRDefault="00F10CBD" w:rsidP="00813421">
            <w:pPr>
              <w:spacing w:line="240" w:lineRule="auto"/>
              <w:ind w:firstLine="0"/>
              <w:rPr>
                <w:sz w:val="20"/>
              </w:rPr>
            </w:pPr>
          </w:p>
        </w:tc>
        <w:tc>
          <w:tcPr>
            <w:tcW w:w="1428" w:type="dxa"/>
            <w:tcBorders>
              <w:top w:val="nil"/>
              <w:left w:val="nil"/>
              <w:bottom w:val="single" w:sz="4" w:space="0" w:color="auto"/>
              <w:right w:val="nil"/>
            </w:tcBorders>
            <w:vAlign w:val="center"/>
          </w:tcPr>
          <w:p w14:paraId="08E44485" w14:textId="77777777" w:rsidR="00F10CBD" w:rsidRPr="00557367" w:rsidRDefault="00F10CBD" w:rsidP="00813421">
            <w:pPr>
              <w:spacing w:line="240" w:lineRule="auto"/>
              <w:ind w:firstLine="0"/>
              <w:rPr>
                <w:sz w:val="20"/>
              </w:rPr>
            </w:pPr>
            <w:r w:rsidRPr="00557367">
              <w:rPr>
                <w:sz w:val="20"/>
              </w:rPr>
              <w:t>Never/DK/NA</w:t>
            </w:r>
          </w:p>
        </w:tc>
        <w:tc>
          <w:tcPr>
            <w:tcW w:w="1407" w:type="dxa"/>
            <w:tcBorders>
              <w:top w:val="nil"/>
              <w:left w:val="nil"/>
              <w:bottom w:val="single" w:sz="4" w:space="0" w:color="auto"/>
              <w:right w:val="nil"/>
            </w:tcBorders>
            <w:vAlign w:val="center"/>
          </w:tcPr>
          <w:p w14:paraId="08E44486" w14:textId="77777777" w:rsidR="00F10CBD" w:rsidRPr="00557367" w:rsidRDefault="00F10CBD" w:rsidP="00813421">
            <w:pPr>
              <w:spacing w:line="240" w:lineRule="auto"/>
              <w:ind w:firstLine="0"/>
              <w:rPr>
                <w:sz w:val="20"/>
              </w:rPr>
            </w:pPr>
            <w:r w:rsidRPr="00557367">
              <w:rPr>
                <w:sz w:val="20"/>
              </w:rPr>
              <w:t>Occasionally</w:t>
            </w:r>
          </w:p>
        </w:tc>
        <w:tc>
          <w:tcPr>
            <w:tcW w:w="1380" w:type="dxa"/>
            <w:tcBorders>
              <w:top w:val="nil"/>
              <w:left w:val="nil"/>
              <w:bottom w:val="single" w:sz="4" w:space="0" w:color="auto"/>
              <w:right w:val="nil"/>
            </w:tcBorders>
            <w:vAlign w:val="center"/>
          </w:tcPr>
          <w:p w14:paraId="08E44487" w14:textId="77777777" w:rsidR="00F10CBD" w:rsidRPr="00557367" w:rsidRDefault="00F10CBD" w:rsidP="00813421">
            <w:pPr>
              <w:spacing w:line="240" w:lineRule="auto"/>
              <w:ind w:firstLine="0"/>
              <w:rPr>
                <w:sz w:val="20"/>
              </w:rPr>
            </w:pPr>
            <w:r w:rsidRPr="00557367">
              <w:rPr>
                <w:sz w:val="20"/>
              </w:rPr>
              <w:t>Frequently</w:t>
            </w:r>
          </w:p>
        </w:tc>
      </w:tr>
      <w:tr w:rsidR="00F10CBD" w:rsidRPr="00557367" w14:paraId="08E4448E" w14:textId="77777777" w:rsidTr="00A47365">
        <w:trPr>
          <w:trHeight w:val="276"/>
        </w:trPr>
        <w:tc>
          <w:tcPr>
            <w:tcW w:w="2126" w:type="dxa"/>
            <w:vMerge w:val="restart"/>
            <w:tcBorders>
              <w:top w:val="single" w:sz="4" w:space="0" w:color="auto"/>
              <w:left w:val="nil"/>
              <w:bottom w:val="single" w:sz="4" w:space="0" w:color="auto"/>
              <w:right w:val="nil"/>
            </w:tcBorders>
            <w:vAlign w:val="center"/>
          </w:tcPr>
          <w:p w14:paraId="08E44489" w14:textId="77777777" w:rsidR="00F10CBD" w:rsidRPr="00557367" w:rsidRDefault="00F10CBD" w:rsidP="00813421">
            <w:pPr>
              <w:spacing w:line="240" w:lineRule="auto"/>
              <w:ind w:firstLine="0"/>
              <w:rPr>
                <w:sz w:val="20"/>
              </w:rPr>
            </w:pPr>
            <w:r w:rsidRPr="00557367">
              <w:rPr>
                <w:sz w:val="20"/>
              </w:rPr>
              <w:lastRenderedPageBreak/>
              <w:t>National matters</w:t>
            </w:r>
          </w:p>
        </w:tc>
        <w:tc>
          <w:tcPr>
            <w:tcW w:w="1845" w:type="dxa"/>
            <w:tcBorders>
              <w:top w:val="single" w:sz="4" w:space="0" w:color="auto"/>
              <w:left w:val="nil"/>
              <w:bottom w:val="nil"/>
            </w:tcBorders>
            <w:vAlign w:val="center"/>
          </w:tcPr>
          <w:p w14:paraId="08E4448A" w14:textId="77777777" w:rsidR="00F10CBD" w:rsidRPr="00557367" w:rsidRDefault="00F10CBD" w:rsidP="00813421">
            <w:pPr>
              <w:spacing w:line="240" w:lineRule="auto"/>
              <w:ind w:firstLine="0"/>
              <w:rPr>
                <w:sz w:val="20"/>
              </w:rPr>
            </w:pPr>
            <w:r w:rsidRPr="00557367">
              <w:rPr>
                <w:sz w:val="20"/>
              </w:rPr>
              <w:t xml:space="preserve"> Never/DK/NA </w:t>
            </w:r>
          </w:p>
        </w:tc>
        <w:tc>
          <w:tcPr>
            <w:tcW w:w="1428" w:type="dxa"/>
            <w:tcBorders>
              <w:bottom w:val="nil"/>
              <w:right w:val="nil"/>
            </w:tcBorders>
            <w:vAlign w:val="center"/>
          </w:tcPr>
          <w:p w14:paraId="08E4448B" w14:textId="77777777" w:rsidR="00F10CBD" w:rsidRPr="00557367" w:rsidRDefault="00F10CBD" w:rsidP="00813421">
            <w:pPr>
              <w:spacing w:line="240" w:lineRule="auto"/>
              <w:ind w:firstLine="0"/>
              <w:rPr>
                <w:sz w:val="20"/>
              </w:rPr>
            </w:pPr>
            <w:r w:rsidRPr="00557367">
              <w:rPr>
                <w:sz w:val="20"/>
              </w:rPr>
              <w:t>D</w:t>
            </w:r>
          </w:p>
        </w:tc>
        <w:tc>
          <w:tcPr>
            <w:tcW w:w="1407" w:type="dxa"/>
            <w:tcBorders>
              <w:left w:val="nil"/>
              <w:bottom w:val="nil"/>
              <w:right w:val="nil"/>
            </w:tcBorders>
            <w:vAlign w:val="center"/>
          </w:tcPr>
          <w:p w14:paraId="08E4448C" w14:textId="77777777" w:rsidR="00F10CBD" w:rsidRPr="00557367" w:rsidRDefault="00F10CBD" w:rsidP="00813421">
            <w:pPr>
              <w:spacing w:line="240" w:lineRule="auto"/>
              <w:ind w:firstLine="0"/>
              <w:rPr>
                <w:sz w:val="20"/>
              </w:rPr>
            </w:pPr>
            <w:r w:rsidRPr="00557367">
              <w:rPr>
                <w:sz w:val="20"/>
              </w:rPr>
              <w:t>L</w:t>
            </w:r>
          </w:p>
        </w:tc>
        <w:tc>
          <w:tcPr>
            <w:tcW w:w="1380" w:type="dxa"/>
            <w:tcBorders>
              <w:left w:val="nil"/>
              <w:bottom w:val="nil"/>
              <w:right w:val="nil"/>
            </w:tcBorders>
            <w:vAlign w:val="center"/>
          </w:tcPr>
          <w:p w14:paraId="08E4448D" w14:textId="77777777" w:rsidR="00F10CBD" w:rsidRPr="00557367" w:rsidRDefault="00F10CBD" w:rsidP="00813421">
            <w:pPr>
              <w:spacing w:line="240" w:lineRule="auto"/>
              <w:ind w:firstLine="0"/>
              <w:rPr>
                <w:sz w:val="20"/>
              </w:rPr>
            </w:pPr>
            <w:r w:rsidRPr="00557367">
              <w:rPr>
                <w:sz w:val="20"/>
              </w:rPr>
              <w:t>L</w:t>
            </w:r>
          </w:p>
        </w:tc>
      </w:tr>
      <w:tr w:rsidR="00F10CBD" w:rsidRPr="00557367" w14:paraId="08E44494" w14:textId="77777777" w:rsidTr="00A47365">
        <w:trPr>
          <w:trHeight w:val="276"/>
        </w:trPr>
        <w:tc>
          <w:tcPr>
            <w:tcW w:w="2126" w:type="dxa"/>
            <w:vMerge/>
            <w:tcBorders>
              <w:top w:val="nil"/>
              <w:left w:val="nil"/>
              <w:bottom w:val="single" w:sz="4" w:space="0" w:color="auto"/>
              <w:right w:val="nil"/>
            </w:tcBorders>
          </w:tcPr>
          <w:p w14:paraId="08E4448F" w14:textId="77777777" w:rsidR="00F10CBD" w:rsidRPr="00557367" w:rsidRDefault="00F10CBD" w:rsidP="00813421">
            <w:pPr>
              <w:spacing w:line="240" w:lineRule="auto"/>
              <w:ind w:firstLine="0"/>
              <w:rPr>
                <w:sz w:val="20"/>
              </w:rPr>
            </w:pPr>
          </w:p>
        </w:tc>
        <w:tc>
          <w:tcPr>
            <w:tcW w:w="1845" w:type="dxa"/>
            <w:tcBorders>
              <w:top w:val="nil"/>
              <w:left w:val="nil"/>
              <w:bottom w:val="nil"/>
            </w:tcBorders>
            <w:vAlign w:val="center"/>
          </w:tcPr>
          <w:p w14:paraId="08E44490" w14:textId="77777777" w:rsidR="00F10CBD" w:rsidRPr="00557367" w:rsidRDefault="00F10CBD" w:rsidP="00813421">
            <w:pPr>
              <w:spacing w:line="240" w:lineRule="auto"/>
              <w:ind w:firstLine="0"/>
              <w:rPr>
                <w:sz w:val="20"/>
              </w:rPr>
            </w:pPr>
            <w:r w:rsidRPr="00557367">
              <w:rPr>
                <w:sz w:val="20"/>
              </w:rPr>
              <w:t>Occasionally</w:t>
            </w:r>
          </w:p>
        </w:tc>
        <w:tc>
          <w:tcPr>
            <w:tcW w:w="1428" w:type="dxa"/>
            <w:tcBorders>
              <w:top w:val="nil"/>
              <w:bottom w:val="nil"/>
              <w:right w:val="nil"/>
            </w:tcBorders>
            <w:vAlign w:val="center"/>
          </w:tcPr>
          <w:p w14:paraId="08E44491" w14:textId="77777777" w:rsidR="00F10CBD" w:rsidRPr="00557367" w:rsidRDefault="00F10CBD" w:rsidP="00813421">
            <w:pPr>
              <w:spacing w:line="240" w:lineRule="auto"/>
              <w:ind w:firstLine="0"/>
              <w:rPr>
                <w:sz w:val="20"/>
              </w:rPr>
            </w:pPr>
            <w:r w:rsidRPr="00557367">
              <w:rPr>
                <w:sz w:val="20"/>
              </w:rPr>
              <w:t>N</w:t>
            </w:r>
          </w:p>
        </w:tc>
        <w:tc>
          <w:tcPr>
            <w:tcW w:w="1407" w:type="dxa"/>
            <w:tcBorders>
              <w:top w:val="nil"/>
              <w:left w:val="nil"/>
              <w:bottom w:val="nil"/>
              <w:right w:val="nil"/>
            </w:tcBorders>
            <w:vAlign w:val="center"/>
          </w:tcPr>
          <w:p w14:paraId="08E44492" w14:textId="77777777" w:rsidR="00F10CBD" w:rsidRPr="00557367" w:rsidRDefault="00F10CBD" w:rsidP="00813421">
            <w:pPr>
              <w:spacing w:line="240" w:lineRule="auto"/>
              <w:ind w:firstLine="0"/>
              <w:rPr>
                <w:sz w:val="20"/>
              </w:rPr>
            </w:pPr>
            <w:r w:rsidRPr="00557367">
              <w:rPr>
                <w:sz w:val="20"/>
              </w:rPr>
              <w:t>E</w:t>
            </w:r>
          </w:p>
        </w:tc>
        <w:tc>
          <w:tcPr>
            <w:tcW w:w="1380" w:type="dxa"/>
            <w:tcBorders>
              <w:top w:val="nil"/>
              <w:left w:val="nil"/>
              <w:bottom w:val="nil"/>
              <w:right w:val="nil"/>
            </w:tcBorders>
            <w:vAlign w:val="center"/>
          </w:tcPr>
          <w:p w14:paraId="08E44493" w14:textId="77777777" w:rsidR="00F10CBD" w:rsidRPr="00557367" w:rsidRDefault="00F10CBD" w:rsidP="00813421">
            <w:pPr>
              <w:spacing w:line="240" w:lineRule="auto"/>
              <w:ind w:firstLine="0"/>
              <w:rPr>
                <w:sz w:val="20"/>
              </w:rPr>
            </w:pPr>
            <w:r w:rsidRPr="00557367">
              <w:rPr>
                <w:sz w:val="20"/>
              </w:rPr>
              <w:t>L</w:t>
            </w:r>
          </w:p>
        </w:tc>
      </w:tr>
      <w:tr w:rsidR="00F10CBD" w:rsidRPr="00557367" w14:paraId="08E4449A" w14:textId="77777777" w:rsidTr="00A47365">
        <w:trPr>
          <w:trHeight w:val="276"/>
        </w:trPr>
        <w:tc>
          <w:tcPr>
            <w:tcW w:w="2126" w:type="dxa"/>
            <w:vMerge/>
            <w:tcBorders>
              <w:top w:val="nil"/>
              <w:left w:val="nil"/>
              <w:right w:val="nil"/>
            </w:tcBorders>
          </w:tcPr>
          <w:p w14:paraId="08E44495" w14:textId="77777777" w:rsidR="00F10CBD" w:rsidRPr="00557367" w:rsidRDefault="00F10CBD" w:rsidP="00813421">
            <w:pPr>
              <w:spacing w:line="240" w:lineRule="auto"/>
              <w:ind w:firstLine="0"/>
              <w:rPr>
                <w:sz w:val="20"/>
              </w:rPr>
            </w:pPr>
          </w:p>
        </w:tc>
        <w:tc>
          <w:tcPr>
            <w:tcW w:w="1845" w:type="dxa"/>
            <w:tcBorders>
              <w:top w:val="nil"/>
              <w:left w:val="nil"/>
            </w:tcBorders>
            <w:vAlign w:val="center"/>
          </w:tcPr>
          <w:p w14:paraId="08E44496" w14:textId="77777777" w:rsidR="00F10CBD" w:rsidRPr="00557367" w:rsidRDefault="00F10CBD" w:rsidP="00813421">
            <w:pPr>
              <w:spacing w:line="240" w:lineRule="auto"/>
              <w:ind w:firstLine="0"/>
              <w:rPr>
                <w:sz w:val="20"/>
              </w:rPr>
            </w:pPr>
            <w:r w:rsidRPr="00557367">
              <w:rPr>
                <w:sz w:val="20"/>
              </w:rPr>
              <w:t>Frequently</w:t>
            </w:r>
          </w:p>
        </w:tc>
        <w:tc>
          <w:tcPr>
            <w:tcW w:w="1428" w:type="dxa"/>
            <w:tcBorders>
              <w:top w:val="nil"/>
              <w:right w:val="nil"/>
            </w:tcBorders>
            <w:vAlign w:val="center"/>
          </w:tcPr>
          <w:p w14:paraId="08E44497" w14:textId="77777777" w:rsidR="00F10CBD" w:rsidRPr="00557367" w:rsidRDefault="00F10CBD" w:rsidP="00813421">
            <w:pPr>
              <w:spacing w:line="240" w:lineRule="auto"/>
              <w:ind w:firstLine="0"/>
              <w:rPr>
                <w:sz w:val="20"/>
              </w:rPr>
            </w:pPr>
            <w:r w:rsidRPr="00557367">
              <w:rPr>
                <w:sz w:val="20"/>
              </w:rPr>
              <w:t>N</w:t>
            </w:r>
          </w:p>
        </w:tc>
        <w:tc>
          <w:tcPr>
            <w:tcW w:w="1407" w:type="dxa"/>
            <w:tcBorders>
              <w:top w:val="nil"/>
              <w:left w:val="nil"/>
              <w:right w:val="nil"/>
            </w:tcBorders>
            <w:vAlign w:val="center"/>
          </w:tcPr>
          <w:p w14:paraId="08E44498" w14:textId="77777777" w:rsidR="00F10CBD" w:rsidRPr="00557367" w:rsidRDefault="00F10CBD" w:rsidP="00813421">
            <w:pPr>
              <w:spacing w:line="240" w:lineRule="auto"/>
              <w:ind w:firstLine="0"/>
              <w:rPr>
                <w:sz w:val="20"/>
              </w:rPr>
            </w:pPr>
            <w:r w:rsidRPr="00557367">
              <w:rPr>
                <w:sz w:val="20"/>
              </w:rPr>
              <w:t>N</w:t>
            </w:r>
          </w:p>
        </w:tc>
        <w:tc>
          <w:tcPr>
            <w:tcW w:w="1380" w:type="dxa"/>
            <w:tcBorders>
              <w:top w:val="nil"/>
              <w:left w:val="nil"/>
              <w:right w:val="nil"/>
            </w:tcBorders>
            <w:vAlign w:val="center"/>
          </w:tcPr>
          <w:p w14:paraId="08E44499" w14:textId="77777777" w:rsidR="00F10CBD" w:rsidRPr="00557367" w:rsidRDefault="00F10CBD" w:rsidP="00813421">
            <w:pPr>
              <w:spacing w:line="240" w:lineRule="auto"/>
              <w:ind w:firstLine="0"/>
              <w:rPr>
                <w:sz w:val="20"/>
              </w:rPr>
            </w:pPr>
            <w:r w:rsidRPr="00557367">
              <w:rPr>
                <w:sz w:val="20"/>
              </w:rPr>
              <w:t>E</w:t>
            </w:r>
          </w:p>
        </w:tc>
      </w:tr>
    </w:tbl>
    <w:p w14:paraId="08E4449B" w14:textId="77777777" w:rsidR="00F10CBD" w:rsidRPr="00557367" w:rsidRDefault="00F10CBD" w:rsidP="00813421">
      <w:pPr>
        <w:ind w:firstLine="708"/>
        <w:rPr>
          <w:sz w:val="20"/>
          <w:szCs w:val="20"/>
          <w:lang w:eastAsia="pt-PT"/>
        </w:rPr>
      </w:pPr>
    </w:p>
    <w:p w14:paraId="515C28A1" w14:textId="77777777" w:rsidR="00E76E04" w:rsidRPr="00557367" w:rsidRDefault="00E76E04" w:rsidP="00813421">
      <w:pPr>
        <w:ind w:firstLine="0"/>
        <w:rPr>
          <w:sz w:val="20"/>
          <w:szCs w:val="20"/>
          <w:lang w:eastAsia="pt-PT"/>
        </w:rPr>
      </w:pPr>
      <w:r w:rsidRPr="00557367">
        <w:rPr>
          <w:sz w:val="20"/>
          <w:szCs w:val="20"/>
          <w:lang w:eastAsia="pt-PT"/>
        </w:rPr>
        <w:t xml:space="preserve">Note to table </w:t>
      </w:r>
      <w:proofErr w:type="spellStart"/>
      <w:r w:rsidRPr="00557367">
        <w:rPr>
          <w:sz w:val="20"/>
          <w:szCs w:val="20"/>
          <w:lang w:eastAsia="pt-PT"/>
        </w:rPr>
        <w:t>Table</w:t>
      </w:r>
      <w:proofErr w:type="spellEnd"/>
      <w:r w:rsidRPr="00557367">
        <w:rPr>
          <w:sz w:val="20"/>
          <w:szCs w:val="20"/>
          <w:lang w:eastAsia="pt-PT"/>
        </w:rPr>
        <w:t xml:space="preserve"> 1:</w:t>
      </w:r>
    </w:p>
    <w:p w14:paraId="578F7A29" w14:textId="77777777" w:rsidR="00E76E04" w:rsidRPr="00557367" w:rsidRDefault="00E76E04" w:rsidP="00813421">
      <w:pPr>
        <w:ind w:firstLine="0"/>
        <w:rPr>
          <w:sz w:val="20"/>
          <w:szCs w:val="20"/>
        </w:rPr>
      </w:pPr>
      <w:r w:rsidRPr="00557367">
        <w:rPr>
          <w:sz w:val="20"/>
          <w:szCs w:val="20"/>
        </w:rPr>
        <w:t xml:space="preserve">D: “Disengaged”; E: “Equally engaged”; N: “More engaged in national”; L: “More engaged in local” Original question: </w:t>
      </w:r>
      <w:r w:rsidRPr="00557367">
        <w:rPr>
          <w:sz w:val="20"/>
          <w:szCs w:val="20"/>
          <w:lang w:eastAsia="pt-PT"/>
        </w:rPr>
        <w:t xml:space="preserve">“When you get together with friends or relatives, would you say you discuss frequently, occasionally or never about…?” (“National political matters”; “European political matters”; “Local political matters”.) Source: European Commission </w:t>
      </w:r>
      <w:r w:rsidRPr="00557367">
        <w:rPr>
          <w:sz w:val="20"/>
          <w:szCs w:val="20"/>
          <w:lang w:eastAsia="pt-PT"/>
        </w:rPr>
        <w:fldChar w:fldCharType="begin"/>
      </w:r>
      <w:r w:rsidRPr="00557367">
        <w:rPr>
          <w:sz w:val="20"/>
          <w:szCs w:val="20"/>
          <w:lang w:eastAsia="pt-PT"/>
        </w:rPr>
        <w:instrText xml:space="preserve"> ADDIN ZOTERO_ITEM CSL_CITATION {"citationID":"sRj6IEif","properties":{"formattedCitation":"(2013, QA2)","plainCitation":"(2013, QA2)"},"citationItems":[{"id":397,"uris":["http://zotero.org/users/109723/items/F5DT7GQH"],"uri":["http://zotero.org/users/109723/items/F5DT7GQH"],"itemData":{"id":397,"type":"report","title":"Eurobarometer 73.4: Financial and Economic Crisis, the Future of the European Union, Globalization, and European Citizenship, May 2010: Version 1","source":"CrossRef","URL":"https://dbk.gesis.org/dbksearch/sdesc2.asp?no=5234&amp;db=e&amp;doi=10.4232/1.11479","shortTitle":"Eurobarometer 73.4","author":[{"literal":"European Commission"}],"issued":{"date-parts":[["2013",2,20]]},"accessed":{"date-parts":[["2015",1,25]]}},"suppress-author":true,"suffix":", QA2"}],"schema":"https://github.com/citation-style-language/schema/raw/master/csl-citation.json"} </w:instrText>
      </w:r>
      <w:r w:rsidRPr="00557367">
        <w:rPr>
          <w:sz w:val="20"/>
          <w:szCs w:val="20"/>
          <w:lang w:eastAsia="pt-PT"/>
        </w:rPr>
        <w:fldChar w:fldCharType="separate"/>
      </w:r>
      <w:r w:rsidRPr="00557367">
        <w:rPr>
          <w:sz w:val="20"/>
          <w:szCs w:val="20"/>
        </w:rPr>
        <w:t>(2013, QA2)</w:t>
      </w:r>
      <w:r w:rsidRPr="00557367">
        <w:rPr>
          <w:sz w:val="20"/>
          <w:szCs w:val="20"/>
          <w:lang w:eastAsia="pt-PT"/>
        </w:rPr>
        <w:fldChar w:fldCharType="end"/>
      </w:r>
    </w:p>
    <w:p w14:paraId="08E4449C" w14:textId="364E5049" w:rsidR="00E76E04" w:rsidRPr="00557367" w:rsidRDefault="00E76E04" w:rsidP="00813421">
      <w:pPr>
        <w:spacing w:after="160" w:line="259" w:lineRule="auto"/>
        <w:ind w:firstLine="0"/>
        <w:rPr>
          <w:sz w:val="20"/>
          <w:szCs w:val="20"/>
          <w:lang w:eastAsia="pt-PT"/>
        </w:rPr>
      </w:pPr>
      <w:r w:rsidRPr="00557367">
        <w:rPr>
          <w:sz w:val="20"/>
          <w:szCs w:val="20"/>
          <w:lang w:eastAsia="pt-PT"/>
        </w:rPr>
        <w:br w:type="page"/>
      </w:r>
    </w:p>
    <w:p w14:paraId="08E4449D" w14:textId="240B0A61" w:rsidR="00F10CBD" w:rsidRPr="00557367" w:rsidRDefault="00F10CBD" w:rsidP="00813421">
      <w:pPr>
        <w:spacing w:after="160" w:line="259" w:lineRule="auto"/>
        <w:ind w:firstLine="0"/>
      </w:pPr>
      <w:r w:rsidRPr="00557367">
        <w:rPr>
          <w:b/>
          <w:sz w:val="20"/>
        </w:rPr>
        <w:lastRenderedPageBreak/>
        <w:t xml:space="preserve">Table 2. Summary of </w:t>
      </w:r>
      <w:r w:rsidR="00B808A4" w:rsidRPr="00557367">
        <w:rPr>
          <w:b/>
          <w:sz w:val="20"/>
        </w:rPr>
        <w:t xml:space="preserve">independent variables </w:t>
      </w:r>
      <w:r w:rsidRPr="00557367">
        <w:rPr>
          <w:b/>
          <w:sz w:val="20"/>
        </w:rPr>
        <w:t xml:space="preserve">used in the </w:t>
      </w:r>
      <w:r w:rsidR="00B808A4" w:rsidRPr="00557367">
        <w:rPr>
          <w:b/>
          <w:sz w:val="20"/>
        </w:rPr>
        <w:t>analysis</w:t>
      </w:r>
    </w:p>
    <w:tbl>
      <w:tblPr>
        <w:tblStyle w:val="TableGrid"/>
        <w:tblW w:w="8337" w:type="dxa"/>
        <w:tblBorders>
          <w:left w:val="none" w:sz="0" w:space="0" w:color="auto"/>
          <w:right w:val="none" w:sz="0" w:space="0" w:color="auto"/>
        </w:tblBorders>
        <w:tblLook w:val="04A0" w:firstRow="1" w:lastRow="0" w:firstColumn="1" w:lastColumn="0" w:noHBand="0" w:noVBand="1"/>
      </w:tblPr>
      <w:tblGrid>
        <w:gridCol w:w="2313"/>
        <w:gridCol w:w="1505"/>
        <w:gridCol w:w="1506"/>
        <w:gridCol w:w="1506"/>
        <w:gridCol w:w="1507"/>
      </w:tblGrid>
      <w:tr w:rsidR="00F10CBD" w:rsidRPr="00557367" w14:paraId="08E444A0" w14:textId="77777777" w:rsidTr="00E76E04">
        <w:trPr>
          <w:trHeight w:val="306"/>
        </w:trPr>
        <w:tc>
          <w:tcPr>
            <w:tcW w:w="2313" w:type="dxa"/>
            <w:tcBorders>
              <w:top w:val="double" w:sz="4" w:space="0" w:color="auto"/>
              <w:bottom w:val="single" w:sz="4" w:space="0" w:color="auto"/>
              <w:right w:val="nil"/>
            </w:tcBorders>
          </w:tcPr>
          <w:p w14:paraId="08E4449E" w14:textId="77777777" w:rsidR="00F10CBD" w:rsidRPr="00557367" w:rsidRDefault="00F10CBD" w:rsidP="00813421">
            <w:pPr>
              <w:spacing w:before="40" w:after="40" w:line="276" w:lineRule="auto"/>
              <w:ind w:firstLine="0"/>
              <w:rPr>
                <w:b/>
                <w:i/>
                <w:sz w:val="22"/>
                <w:szCs w:val="22"/>
              </w:rPr>
            </w:pPr>
            <w:r w:rsidRPr="00557367">
              <w:rPr>
                <w:b/>
                <w:i/>
                <w:sz w:val="22"/>
                <w:szCs w:val="22"/>
              </w:rPr>
              <w:t>Individual level</w:t>
            </w:r>
          </w:p>
        </w:tc>
        <w:tc>
          <w:tcPr>
            <w:tcW w:w="6024" w:type="dxa"/>
            <w:gridSpan w:val="4"/>
            <w:tcBorders>
              <w:top w:val="double" w:sz="4" w:space="0" w:color="auto"/>
              <w:left w:val="nil"/>
              <w:bottom w:val="single" w:sz="4" w:space="0" w:color="auto"/>
            </w:tcBorders>
            <w:vAlign w:val="center"/>
          </w:tcPr>
          <w:p w14:paraId="08E4449F" w14:textId="77777777" w:rsidR="00F10CBD" w:rsidRPr="00557367" w:rsidRDefault="00F10CBD" w:rsidP="00813421">
            <w:pPr>
              <w:tabs>
                <w:tab w:val="left" w:pos="765"/>
              </w:tabs>
              <w:spacing w:before="40" w:after="40" w:line="276" w:lineRule="auto"/>
              <w:ind w:firstLine="0"/>
              <w:rPr>
                <w:b/>
                <w:sz w:val="22"/>
                <w:szCs w:val="22"/>
              </w:rPr>
            </w:pPr>
          </w:p>
        </w:tc>
      </w:tr>
      <w:tr w:rsidR="00F10CBD" w:rsidRPr="00557367" w14:paraId="08E444A3" w14:textId="77777777" w:rsidTr="00E76E04">
        <w:trPr>
          <w:trHeight w:val="320"/>
        </w:trPr>
        <w:tc>
          <w:tcPr>
            <w:tcW w:w="2313" w:type="dxa"/>
            <w:tcBorders>
              <w:bottom w:val="nil"/>
              <w:right w:val="nil"/>
            </w:tcBorders>
          </w:tcPr>
          <w:p w14:paraId="08E444A1" w14:textId="346E3BB3" w:rsidR="00F10CBD" w:rsidRPr="00557367" w:rsidRDefault="00B808A4" w:rsidP="00813421">
            <w:pPr>
              <w:spacing w:before="40" w:after="40" w:line="276" w:lineRule="auto"/>
              <w:ind w:firstLine="0"/>
              <w:rPr>
                <w:b/>
                <w:sz w:val="22"/>
                <w:szCs w:val="22"/>
              </w:rPr>
            </w:pPr>
            <w:r w:rsidRPr="00557367">
              <w:rPr>
                <w:b/>
                <w:sz w:val="22"/>
                <w:szCs w:val="22"/>
              </w:rPr>
              <w:t>Categories</w:t>
            </w:r>
            <w:r w:rsidR="00F10CBD" w:rsidRPr="00557367">
              <w:rPr>
                <w:b/>
                <w:sz w:val="22"/>
                <w:szCs w:val="22"/>
              </w:rPr>
              <w:t xml:space="preserve"> </w:t>
            </w:r>
          </w:p>
        </w:tc>
        <w:tc>
          <w:tcPr>
            <w:tcW w:w="6024" w:type="dxa"/>
            <w:gridSpan w:val="4"/>
            <w:tcBorders>
              <w:left w:val="nil"/>
              <w:bottom w:val="nil"/>
            </w:tcBorders>
            <w:vAlign w:val="center"/>
          </w:tcPr>
          <w:p w14:paraId="08E444A2" w14:textId="77777777" w:rsidR="00F10CBD" w:rsidRPr="00557367" w:rsidRDefault="00F10CBD" w:rsidP="00813421">
            <w:pPr>
              <w:spacing w:before="40" w:after="40" w:line="276" w:lineRule="auto"/>
              <w:ind w:firstLine="0"/>
              <w:rPr>
                <w:sz w:val="22"/>
                <w:szCs w:val="22"/>
              </w:rPr>
            </w:pPr>
          </w:p>
        </w:tc>
      </w:tr>
      <w:tr w:rsidR="00280129" w:rsidRPr="00557367" w14:paraId="0AA88B83" w14:textId="77777777" w:rsidTr="00E76E04">
        <w:trPr>
          <w:trHeight w:val="611"/>
        </w:trPr>
        <w:tc>
          <w:tcPr>
            <w:tcW w:w="2313" w:type="dxa"/>
            <w:tcBorders>
              <w:top w:val="nil"/>
              <w:bottom w:val="nil"/>
              <w:right w:val="nil"/>
            </w:tcBorders>
          </w:tcPr>
          <w:p w14:paraId="652AAE13" w14:textId="3BF8BFDD" w:rsidR="00280129" w:rsidRPr="00557367" w:rsidRDefault="00280129" w:rsidP="00813421">
            <w:pPr>
              <w:spacing w:before="40" w:after="40" w:line="276" w:lineRule="auto"/>
              <w:ind w:firstLine="0"/>
              <w:rPr>
                <w:sz w:val="22"/>
                <w:szCs w:val="22"/>
              </w:rPr>
            </w:pPr>
            <w:r w:rsidRPr="00557367">
              <w:rPr>
                <w:sz w:val="22"/>
                <w:szCs w:val="22"/>
              </w:rPr>
              <w:t>Gender</w:t>
            </w:r>
          </w:p>
        </w:tc>
        <w:tc>
          <w:tcPr>
            <w:tcW w:w="6024" w:type="dxa"/>
            <w:gridSpan w:val="4"/>
            <w:tcBorders>
              <w:top w:val="nil"/>
              <w:left w:val="nil"/>
              <w:bottom w:val="nil"/>
            </w:tcBorders>
            <w:vAlign w:val="center"/>
          </w:tcPr>
          <w:p w14:paraId="7800399A" w14:textId="77777777" w:rsidR="00350812" w:rsidRPr="00557367" w:rsidRDefault="00280129" w:rsidP="00813421">
            <w:pPr>
              <w:spacing w:before="40" w:after="40" w:line="276" w:lineRule="auto"/>
              <w:ind w:firstLine="0"/>
              <w:rPr>
                <w:sz w:val="22"/>
                <w:szCs w:val="22"/>
              </w:rPr>
            </w:pPr>
            <w:r w:rsidRPr="00557367">
              <w:rPr>
                <w:sz w:val="22"/>
                <w:szCs w:val="22"/>
              </w:rPr>
              <w:t>Female: 54%</w:t>
            </w:r>
          </w:p>
          <w:p w14:paraId="3164FF72" w14:textId="3BAED0A4" w:rsidR="00280129" w:rsidRPr="00557367" w:rsidRDefault="00280129" w:rsidP="00813421">
            <w:pPr>
              <w:spacing w:before="40" w:after="40" w:line="276" w:lineRule="auto"/>
              <w:ind w:firstLine="0"/>
              <w:rPr>
                <w:sz w:val="22"/>
                <w:szCs w:val="22"/>
              </w:rPr>
            </w:pPr>
            <w:r w:rsidRPr="00557367">
              <w:rPr>
                <w:sz w:val="22"/>
                <w:szCs w:val="22"/>
              </w:rPr>
              <w:t xml:space="preserve">Male: 46% </w:t>
            </w:r>
          </w:p>
        </w:tc>
      </w:tr>
      <w:tr w:rsidR="00280129" w:rsidRPr="00557367" w14:paraId="3CE9CCF9" w14:textId="77777777" w:rsidTr="00E76E04">
        <w:trPr>
          <w:trHeight w:val="1762"/>
        </w:trPr>
        <w:tc>
          <w:tcPr>
            <w:tcW w:w="2313" w:type="dxa"/>
            <w:tcBorders>
              <w:top w:val="nil"/>
              <w:bottom w:val="nil"/>
              <w:right w:val="nil"/>
            </w:tcBorders>
          </w:tcPr>
          <w:p w14:paraId="230FF2F7" w14:textId="2FBB354E" w:rsidR="00280129" w:rsidRPr="00557367" w:rsidRDefault="00280129" w:rsidP="00813421">
            <w:pPr>
              <w:spacing w:before="40" w:after="40" w:line="276" w:lineRule="auto"/>
              <w:ind w:firstLine="0"/>
              <w:rPr>
                <w:sz w:val="22"/>
                <w:szCs w:val="22"/>
              </w:rPr>
            </w:pPr>
            <w:r w:rsidRPr="00557367">
              <w:rPr>
                <w:sz w:val="22"/>
                <w:szCs w:val="22"/>
              </w:rPr>
              <w:t>Age group</w:t>
            </w:r>
          </w:p>
        </w:tc>
        <w:tc>
          <w:tcPr>
            <w:tcW w:w="6024" w:type="dxa"/>
            <w:gridSpan w:val="4"/>
            <w:tcBorders>
              <w:top w:val="nil"/>
              <w:left w:val="nil"/>
              <w:bottom w:val="nil"/>
            </w:tcBorders>
            <w:vAlign w:val="center"/>
          </w:tcPr>
          <w:p w14:paraId="66F34D4A" w14:textId="2103B71A" w:rsidR="00350812" w:rsidRPr="00557367" w:rsidRDefault="00350812" w:rsidP="00813421">
            <w:pPr>
              <w:spacing w:before="40" w:after="40" w:line="276" w:lineRule="auto"/>
              <w:ind w:firstLine="0"/>
              <w:rPr>
                <w:sz w:val="22"/>
                <w:szCs w:val="22"/>
              </w:rPr>
            </w:pPr>
            <w:r w:rsidRPr="00557367">
              <w:rPr>
                <w:sz w:val="22"/>
                <w:szCs w:val="22"/>
              </w:rPr>
              <w:t xml:space="preserve">15-24: 12.4%; </w:t>
            </w:r>
          </w:p>
          <w:p w14:paraId="1EE8F0C4" w14:textId="483EC607" w:rsidR="00350812" w:rsidRPr="00557367" w:rsidRDefault="00350812" w:rsidP="00813421">
            <w:pPr>
              <w:spacing w:before="40" w:after="40" w:line="276" w:lineRule="auto"/>
              <w:ind w:firstLine="0"/>
              <w:rPr>
                <w:sz w:val="22"/>
                <w:szCs w:val="22"/>
              </w:rPr>
            </w:pPr>
            <w:r w:rsidRPr="00557367">
              <w:rPr>
                <w:sz w:val="22"/>
                <w:szCs w:val="22"/>
              </w:rPr>
              <w:t>25-34: 15.1%</w:t>
            </w:r>
          </w:p>
          <w:p w14:paraId="696963B8" w14:textId="4ECF60DF" w:rsidR="00350812" w:rsidRPr="00557367" w:rsidRDefault="00350812" w:rsidP="00813421">
            <w:pPr>
              <w:spacing w:before="40" w:after="40" w:line="276" w:lineRule="auto"/>
              <w:ind w:firstLine="0"/>
              <w:rPr>
                <w:sz w:val="22"/>
                <w:szCs w:val="22"/>
              </w:rPr>
            </w:pPr>
            <w:r w:rsidRPr="00557367">
              <w:rPr>
                <w:sz w:val="22"/>
                <w:szCs w:val="22"/>
              </w:rPr>
              <w:t>35-44: 17.4%</w:t>
            </w:r>
          </w:p>
          <w:p w14:paraId="0B2385DB" w14:textId="082BDBBD" w:rsidR="00350812" w:rsidRPr="00557367" w:rsidRDefault="00350812" w:rsidP="00813421">
            <w:pPr>
              <w:spacing w:before="40" w:after="40" w:line="276" w:lineRule="auto"/>
              <w:ind w:firstLine="0"/>
              <w:rPr>
                <w:sz w:val="22"/>
                <w:szCs w:val="22"/>
              </w:rPr>
            </w:pPr>
            <w:r w:rsidRPr="00557367">
              <w:rPr>
                <w:sz w:val="22"/>
                <w:szCs w:val="22"/>
              </w:rPr>
              <w:t>45-54: 17.4%</w:t>
            </w:r>
          </w:p>
          <w:p w14:paraId="6CD2C745" w14:textId="6B2D048B" w:rsidR="00350812" w:rsidRPr="00557367" w:rsidRDefault="00350812" w:rsidP="00813421">
            <w:pPr>
              <w:spacing w:before="40" w:after="40" w:line="276" w:lineRule="auto"/>
              <w:ind w:firstLine="0"/>
              <w:rPr>
                <w:sz w:val="22"/>
                <w:szCs w:val="22"/>
              </w:rPr>
            </w:pPr>
            <w:r w:rsidRPr="00557367">
              <w:rPr>
                <w:sz w:val="22"/>
                <w:szCs w:val="22"/>
              </w:rPr>
              <w:t>55-64: 16.6%</w:t>
            </w:r>
          </w:p>
          <w:p w14:paraId="35E8BEBB" w14:textId="12DD61A0" w:rsidR="00280129" w:rsidRPr="00557367" w:rsidRDefault="00350812" w:rsidP="00813421">
            <w:pPr>
              <w:spacing w:before="40" w:after="40" w:line="276" w:lineRule="auto"/>
              <w:ind w:firstLine="0"/>
              <w:rPr>
                <w:sz w:val="22"/>
                <w:szCs w:val="22"/>
              </w:rPr>
            </w:pPr>
            <w:r w:rsidRPr="00557367">
              <w:rPr>
                <w:sz w:val="22"/>
                <w:szCs w:val="22"/>
              </w:rPr>
              <w:t>&gt;64: 21.1%</w:t>
            </w:r>
          </w:p>
        </w:tc>
      </w:tr>
      <w:tr w:rsidR="00280129" w:rsidRPr="00557367" w14:paraId="08E444A6" w14:textId="77777777" w:rsidTr="00E76E04">
        <w:trPr>
          <w:trHeight w:val="757"/>
        </w:trPr>
        <w:tc>
          <w:tcPr>
            <w:tcW w:w="2313" w:type="dxa"/>
            <w:tcBorders>
              <w:top w:val="nil"/>
              <w:bottom w:val="nil"/>
              <w:right w:val="nil"/>
            </w:tcBorders>
          </w:tcPr>
          <w:p w14:paraId="08E444A4" w14:textId="77777777" w:rsidR="00280129" w:rsidRPr="00557367" w:rsidRDefault="00280129" w:rsidP="00813421">
            <w:pPr>
              <w:spacing w:before="40" w:after="40" w:line="276" w:lineRule="auto"/>
              <w:ind w:firstLine="0"/>
              <w:rPr>
                <w:sz w:val="22"/>
                <w:szCs w:val="22"/>
              </w:rPr>
            </w:pPr>
            <w:r w:rsidRPr="00557367">
              <w:rPr>
                <w:sz w:val="22"/>
                <w:szCs w:val="22"/>
              </w:rPr>
              <w:t>Occupation</w:t>
            </w:r>
          </w:p>
        </w:tc>
        <w:tc>
          <w:tcPr>
            <w:tcW w:w="6024" w:type="dxa"/>
            <w:gridSpan w:val="4"/>
            <w:tcBorders>
              <w:top w:val="nil"/>
              <w:left w:val="nil"/>
              <w:bottom w:val="nil"/>
            </w:tcBorders>
            <w:vAlign w:val="center"/>
          </w:tcPr>
          <w:p w14:paraId="1EC633E2" w14:textId="76BE40C0" w:rsidR="00350812" w:rsidRPr="00557367" w:rsidRDefault="00350812" w:rsidP="00813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firstLine="0"/>
              <w:rPr>
                <w:color w:val="000000"/>
                <w:sz w:val="22"/>
                <w:szCs w:val="22"/>
                <w:lang w:eastAsia="en-US"/>
              </w:rPr>
            </w:pPr>
            <w:r w:rsidRPr="00557367">
              <w:rPr>
                <w:color w:val="000000"/>
                <w:sz w:val="22"/>
                <w:szCs w:val="22"/>
                <w:lang w:eastAsia="en-US"/>
              </w:rPr>
              <w:t>Non-active: 52.9%</w:t>
            </w:r>
          </w:p>
          <w:p w14:paraId="4C2FA3F0" w14:textId="56CCAC59" w:rsidR="00FD3B5B" w:rsidRPr="00557367" w:rsidRDefault="00FD3B5B" w:rsidP="00813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firstLine="0"/>
              <w:rPr>
                <w:color w:val="000000"/>
                <w:sz w:val="22"/>
                <w:szCs w:val="22"/>
                <w:lang w:eastAsia="en-US"/>
              </w:rPr>
            </w:pPr>
            <w:r w:rsidRPr="00557367">
              <w:rPr>
                <w:color w:val="000000"/>
                <w:sz w:val="22"/>
                <w:szCs w:val="22"/>
                <w:lang w:eastAsia="en-US"/>
              </w:rPr>
              <w:t>Manual worker: 27.6%</w:t>
            </w:r>
          </w:p>
          <w:p w14:paraId="08E444A5" w14:textId="153558F9" w:rsidR="00280129" w:rsidRPr="00557367" w:rsidRDefault="00FD3B5B" w:rsidP="00813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firstLine="0"/>
              <w:rPr>
                <w:color w:val="000000"/>
                <w:sz w:val="22"/>
                <w:szCs w:val="22"/>
                <w:lang w:eastAsia="en-US"/>
              </w:rPr>
            </w:pPr>
            <w:r w:rsidRPr="00557367">
              <w:rPr>
                <w:color w:val="000000"/>
                <w:sz w:val="22"/>
                <w:szCs w:val="22"/>
                <w:lang w:eastAsia="en-US"/>
              </w:rPr>
              <w:t>Professional/Managerial</w:t>
            </w:r>
            <w:r w:rsidR="00350812" w:rsidRPr="00557367">
              <w:rPr>
                <w:color w:val="000000"/>
                <w:sz w:val="22"/>
                <w:szCs w:val="22"/>
                <w:lang w:eastAsia="en-US"/>
              </w:rPr>
              <w:t xml:space="preserve">: </w:t>
            </w:r>
            <w:r w:rsidRPr="00557367">
              <w:rPr>
                <w:color w:val="000000"/>
                <w:sz w:val="22"/>
                <w:szCs w:val="22"/>
                <w:lang w:eastAsia="en-US"/>
              </w:rPr>
              <w:t>19.5</w:t>
            </w:r>
            <w:r w:rsidR="00350812" w:rsidRPr="00557367">
              <w:rPr>
                <w:color w:val="000000"/>
                <w:sz w:val="22"/>
                <w:szCs w:val="22"/>
                <w:lang w:eastAsia="en-US"/>
              </w:rPr>
              <w:t>%</w:t>
            </w:r>
          </w:p>
        </w:tc>
      </w:tr>
      <w:tr w:rsidR="00280129" w:rsidRPr="00557367" w14:paraId="08E444A9" w14:textId="77777777" w:rsidTr="00E76E04">
        <w:trPr>
          <w:trHeight w:val="888"/>
        </w:trPr>
        <w:tc>
          <w:tcPr>
            <w:tcW w:w="2313" w:type="dxa"/>
            <w:tcBorders>
              <w:top w:val="nil"/>
              <w:bottom w:val="nil"/>
              <w:right w:val="nil"/>
            </w:tcBorders>
          </w:tcPr>
          <w:p w14:paraId="08E444A7" w14:textId="7E640F77" w:rsidR="00280129" w:rsidRPr="00557367" w:rsidRDefault="00280129" w:rsidP="00813421">
            <w:pPr>
              <w:spacing w:before="40" w:after="40" w:line="276" w:lineRule="auto"/>
              <w:ind w:firstLine="0"/>
              <w:rPr>
                <w:sz w:val="22"/>
                <w:szCs w:val="22"/>
              </w:rPr>
            </w:pPr>
            <w:r w:rsidRPr="00557367">
              <w:rPr>
                <w:sz w:val="22"/>
                <w:szCs w:val="22"/>
              </w:rPr>
              <w:t>Type of community</w:t>
            </w:r>
          </w:p>
        </w:tc>
        <w:tc>
          <w:tcPr>
            <w:tcW w:w="6024" w:type="dxa"/>
            <w:gridSpan w:val="4"/>
            <w:tcBorders>
              <w:top w:val="nil"/>
              <w:left w:val="nil"/>
              <w:bottom w:val="nil"/>
            </w:tcBorders>
            <w:vAlign w:val="center"/>
          </w:tcPr>
          <w:p w14:paraId="7F7E5E5D" w14:textId="671C65BA" w:rsidR="00350812" w:rsidRPr="00557367" w:rsidRDefault="00350812" w:rsidP="00813421">
            <w:pPr>
              <w:spacing w:before="40" w:after="40" w:line="276" w:lineRule="auto"/>
              <w:ind w:firstLine="0"/>
              <w:rPr>
                <w:sz w:val="22"/>
                <w:szCs w:val="22"/>
              </w:rPr>
            </w:pPr>
            <w:r w:rsidRPr="00557367">
              <w:rPr>
                <w:sz w:val="22"/>
                <w:szCs w:val="22"/>
              </w:rPr>
              <w:t>Rural: 35.6%</w:t>
            </w:r>
          </w:p>
          <w:p w14:paraId="2DF70894" w14:textId="794DCC53" w:rsidR="00350812" w:rsidRPr="00557367" w:rsidRDefault="00350812" w:rsidP="00813421">
            <w:pPr>
              <w:spacing w:before="40" w:after="40" w:line="276" w:lineRule="auto"/>
              <w:ind w:firstLine="0"/>
              <w:rPr>
                <w:sz w:val="22"/>
                <w:szCs w:val="22"/>
              </w:rPr>
            </w:pPr>
            <w:r w:rsidRPr="00557367">
              <w:rPr>
                <w:sz w:val="22"/>
                <w:szCs w:val="22"/>
              </w:rPr>
              <w:t>Small</w:t>
            </w:r>
            <w:r w:rsidR="00B808A4" w:rsidRPr="00557367">
              <w:rPr>
                <w:sz w:val="22"/>
                <w:szCs w:val="22"/>
              </w:rPr>
              <w:t>/middle</w:t>
            </w:r>
            <w:r w:rsidRPr="00557367">
              <w:rPr>
                <w:sz w:val="22"/>
                <w:szCs w:val="22"/>
              </w:rPr>
              <w:t xml:space="preserve"> town: 35.3%</w:t>
            </w:r>
          </w:p>
          <w:p w14:paraId="08E444A8" w14:textId="2FB683CD" w:rsidR="00280129" w:rsidRPr="00557367" w:rsidRDefault="00350812" w:rsidP="00813421">
            <w:pPr>
              <w:spacing w:before="40" w:after="40" w:line="276" w:lineRule="auto"/>
              <w:ind w:firstLine="0"/>
              <w:rPr>
                <w:sz w:val="22"/>
                <w:szCs w:val="22"/>
              </w:rPr>
            </w:pPr>
            <w:r w:rsidRPr="00557367">
              <w:rPr>
                <w:sz w:val="22"/>
                <w:szCs w:val="22"/>
              </w:rPr>
              <w:t>Big town 29%</w:t>
            </w:r>
          </w:p>
        </w:tc>
      </w:tr>
      <w:tr w:rsidR="00280129" w:rsidRPr="00557367" w14:paraId="08E444AF" w14:textId="77777777" w:rsidTr="00E76E04">
        <w:trPr>
          <w:trHeight w:val="334"/>
        </w:trPr>
        <w:tc>
          <w:tcPr>
            <w:tcW w:w="2313" w:type="dxa"/>
            <w:tcBorders>
              <w:top w:val="nil"/>
              <w:bottom w:val="nil"/>
              <w:right w:val="nil"/>
            </w:tcBorders>
          </w:tcPr>
          <w:p w14:paraId="08E444AA" w14:textId="77777777" w:rsidR="00280129" w:rsidRPr="00557367" w:rsidRDefault="00280129" w:rsidP="00813421">
            <w:pPr>
              <w:spacing w:before="40" w:after="40" w:line="276" w:lineRule="auto"/>
              <w:ind w:firstLine="0"/>
              <w:rPr>
                <w:b/>
                <w:sz w:val="22"/>
                <w:szCs w:val="22"/>
              </w:rPr>
            </w:pPr>
          </w:p>
        </w:tc>
        <w:tc>
          <w:tcPr>
            <w:tcW w:w="1505" w:type="dxa"/>
            <w:tcBorders>
              <w:top w:val="nil"/>
              <w:left w:val="nil"/>
              <w:bottom w:val="nil"/>
              <w:right w:val="nil"/>
            </w:tcBorders>
            <w:vAlign w:val="center"/>
          </w:tcPr>
          <w:p w14:paraId="08E444AB" w14:textId="77777777" w:rsidR="00280129" w:rsidRPr="00557367" w:rsidRDefault="00280129" w:rsidP="00813421">
            <w:pPr>
              <w:spacing w:before="40" w:after="40" w:line="276" w:lineRule="auto"/>
              <w:ind w:firstLine="0"/>
              <w:rPr>
                <w:b/>
                <w:sz w:val="22"/>
                <w:szCs w:val="22"/>
              </w:rPr>
            </w:pPr>
          </w:p>
        </w:tc>
        <w:tc>
          <w:tcPr>
            <w:tcW w:w="1506" w:type="dxa"/>
            <w:tcBorders>
              <w:top w:val="nil"/>
              <w:left w:val="nil"/>
              <w:bottom w:val="nil"/>
              <w:right w:val="nil"/>
            </w:tcBorders>
            <w:vAlign w:val="center"/>
          </w:tcPr>
          <w:p w14:paraId="08E444AC" w14:textId="77777777" w:rsidR="00280129" w:rsidRPr="00557367" w:rsidRDefault="00280129" w:rsidP="00813421">
            <w:pPr>
              <w:spacing w:before="40" w:after="40" w:line="276" w:lineRule="auto"/>
              <w:ind w:firstLine="0"/>
              <w:rPr>
                <w:b/>
                <w:sz w:val="22"/>
                <w:szCs w:val="22"/>
              </w:rPr>
            </w:pPr>
          </w:p>
        </w:tc>
        <w:tc>
          <w:tcPr>
            <w:tcW w:w="1506" w:type="dxa"/>
            <w:tcBorders>
              <w:top w:val="nil"/>
              <w:left w:val="nil"/>
              <w:bottom w:val="nil"/>
              <w:right w:val="nil"/>
            </w:tcBorders>
            <w:vAlign w:val="center"/>
          </w:tcPr>
          <w:p w14:paraId="08E444AD" w14:textId="77777777" w:rsidR="00280129" w:rsidRPr="00557367" w:rsidRDefault="00280129" w:rsidP="00813421">
            <w:pPr>
              <w:spacing w:before="40" w:after="40" w:line="276" w:lineRule="auto"/>
              <w:ind w:firstLine="0"/>
              <w:rPr>
                <w:b/>
                <w:sz w:val="22"/>
                <w:szCs w:val="22"/>
              </w:rPr>
            </w:pPr>
          </w:p>
        </w:tc>
        <w:tc>
          <w:tcPr>
            <w:tcW w:w="1506" w:type="dxa"/>
            <w:tcBorders>
              <w:top w:val="nil"/>
              <w:left w:val="nil"/>
              <w:bottom w:val="nil"/>
            </w:tcBorders>
            <w:vAlign w:val="center"/>
          </w:tcPr>
          <w:p w14:paraId="08E444AE" w14:textId="77777777" w:rsidR="00280129" w:rsidRPr="00557367" w:rsidRDefault="00280129" w:rsidP="00813421">
            <w:pPr>
              <w:spacing w:before="40" w:after="40" w:line="276" w:lineRule="auto"/>
              <w:ind w:firstLine="0"/>
              <w:rPr>
                <w:b/>
                <w:sz w:val="22"/>
                <w:szCs w:val="22"/>
              </w:rPr>
            </w:pPr>
          </w:p>
        </w:tc>
      </w:tr>
      <w:tr w:rsidR="00350812" w:rsidRPr="00557367" w14:paraId="08E444B5" w14:textId="77777777" w:rsidTr="00E76E04">
        <w:trPr>
          <w:trHeight w:val="320"/>
        </w:trPr>
        <w:tc>
          <w:tcPr>
            <w:tcW w:w="2313" w:type="dxa"/>
            <w:tcBorders>
              <w:top w:val="nil"/>
              <w:bottom w:val="nil"/>
              <w:right w:val="nil"/>
            </w:tcBorders>
          </w:tcPr>
          <w:p w14:paraId="08E444B0" w14:textId="24454B51" w:rsidR="00350812" w:rsidRPr="00557367" w:rsidRDefault="00B808A4" w:rsidP="00813421">
            <w:pPr>
              <w:spacing w:before="40" w:after="40" w:line="276" w:lineRule="auto"/>
              <w:ind w:firstLine="0"/>
              <w:rPr>
                <w:b/>
                <w:sz w:val="22"/>
                <w:szCs w:val="22"/>
              </w:rPr>
            </w:pPr>
            <w:r w:rsidRPr="00557367">
              <w:rPr>
                <w:b/>
                <w:sz w:val="22"/>
                <w:szCs w:val="22"/>
              </w:rPr>
              <w:t>Continuous</w:t>
            </w:r>
          </w:p>
        </w:tc>
        <w:tc>
          <w:tcPr>
            <w:tcW w:w="1505" w:type="dxa"/>
            <w:tcBorders>
              <w:top w:val="nil"/>
              <w:left w:val="nil"/>
              <w:bottom w:val="nil"/>
              <w:right w:val="nil"/>
            </w:tcBorders>
            <w:vAlign w:val="center"/>
          </w:tcPr>
          <w:p w14:paraId="08E444B1" w14:textId="19E8E7B5" w:rsidR="00350812" w:rsidRPr="00557367" w:rsidRDefault="00350812" w:rsidP="00813421">
            <w:pPr>
              <w:spacing w:before="40" w:after="40" w:line="276" w:lineRule="auto"/>
              <w:ind w:firstLine="0"/>
              <w:rPr>
                <w:sz w:val="22"/>
                <w:szCs w:val="22"/>
              </w:rPr>
            </w:pPr>
            <w:r w:rsidRPr="00557367">
              <w:rPr>
                <w:b/>
                <w:sz w:val="22"/>
                <w:szCs w:val="22"/>
              </w:rPr>
              <w:t>Min</w:t>
            </w:r>
          </w:p>
        </w:tc>
        <w:tc>
          <w:tcPr>
            <w:tcW w:w="1506" w:type="dxa"/>
            <w:tcBorders>
              <w:top w:val="nil"/>
              <w:left w:val="nil"/>
              <w:bottom w:val="nil"/>
              <w:right w:val="nil"/>
            </w:tcBorders>
            <w:vAlign w:val="center"/>
          </w:tcPr>
          <w:p w14:paraId="08E444B2" w14:textId="07D151E2" w:rsidR="00350812" w:rsidRPr="00557367" w:rsidRDefault="00350812" w:rsidP="00813421">
            <w:pPr>
              <w:spacing w:before="40" w:after="40" w:line="276" w:lineRule="auto"/>
              <w:ind w:firstLine="0"/>
              <w:rPr>
                <w:sz w:val="22"/>
                <w:szCs w:val="22"/>
              </w:rPr>
            </w:pPr>
            <w:r w:rsidRPr="00557367">
              <w:rPr>
                <w:b/>
                <w:sz w:val="22"/>
                <w:szCs w:val="22"/>
              </w:rPr>
              <w:t>Max</w:t>
            </w:r>
          </w:p>
        </w:tc>
        <w:tc>
          <w:tcPr>
            <w:tcW w:w="1506" w:type="dxa"/>
            <w:tcBorders>
              <w:top w:val="nil"/>
              <w:left w:val="nil"/>
              <w:bottom w:val="nil"/>
              <w:right w:val="nil"/>
            </w:tcBorders>
            <w:vAlign w:val="center"/>
          </w:tcPr>
          <w:p w14:paraId="08E444B3" w14:textId="7E0FD893" w:rsidR="00350812" w:rsidRPr="00557367" w:rsidRDefault="00350812" w:rsidP="00813421">
            <w:pPr>
              <w:spacing w:before="40" w:after="40" w:line="276" w:lineRule="auto"/>
              <w:ind w:firstLine="0"/>
              <w:rPr>
                <w:sz w:val="22"/>
                <w:szCs w:val="22"/>
              </w:rPr>
            </w:pPr>
            <w:r w:rsidRPr="00557367">
              <w:rPr>
                <w:b/>
                <w:sz w:val="22"/>
                <w:szCs w:val="22"/>
              </w:rPr>
              <w:t>Mean</w:t>
            </w:r>
          </w:p>
        </w:tc>
        <w:tc>
          <w:tcPr>
            <w:tcW w:w="1506" w:type="dxa"/>
            <w:tcBorders>
              <w:top w:val="nil"/>
              <w:left w:val="nil"/>
              <w:bottom w:val="nil"/>
            </w:tcBorders>
            <w:vAlign w:val="center"/>
          </w:tcPr>
          <w:p w14:paraId="08E444B4" w14:textId="7E29768E" w:rsidR="00350812" w:rsidRPr="00557367" w:rsidRDefault="00350812" w:rsidP="00813421">
            <w:pPr>
              <w:spacing w:before="40" w:after="40" w:line="276" w:lineRule="auto"/>
              <w:ind w:firstLine="0"/>
              <w:rPr>
                <w:sz w:val="22"/>
                <w:szCs w:val="22"/>
              </w:rPr>
            </w:pPr>
            <w:r w:rsidRPr="00557367">
              <w:rPr>
                <w:b/>
                <w:sz w:val="22"/>
                <w:szCs w:val="22"/>
              </w:rPr>
              <w:t>Std. Dev</w:t>
            </w:r>
          </w:p>
        </w:tc>
      </w:tr>
      <w:tr w:rsidR="00280129" w:rsidRPr="00557367" w14:paraId="08E444BB" w14:textId="77777777" w:rsidTr="00E76E04">
        <w:trPr>
          <w:trHeight w:val="829"/>
        </w:trPr>
        <w:tc>
          <w:tcPr>
            <w:tcW w:w="2313" w:type="dxa"/>
            <w:tcBorders>
              <w:top w:val="nil"/>
              <w:bottom w:val="nil"/>
              <w:right w:val="nil"/>
            </w:tcBorders>
          </w:tcPr>
          <w:p w14:paraId="08E444B6" w14:textId="7AA05CC7" w:rsidR="00280129" w:rsidRPr="00557367" w:rsidRDefault="00280129" w:rsidP="00813421">
            <w:pPr>
              <w:spacing w:before="40" w:after="40" w:line="276" w:lineRule="auto"/>
              <w:ind w:firstLine="0"/>
              <w:rPr>
                <w:sz w:val="22"/>
                <w:szCs w:val="22"/>
              </w:rPr>
            </w:pPr>
            <w:r w:rsidRPr="00557367">
              <w:rPr>
                <w:sz w:val="22"/>
                <w:szCs w:val="22"/>
              </w:rPr>
              <w:t xml:space="preserve">Organisational membership in national organisations </w:t>
            </w:r>
          </w:p>
        </w:tc>
        <w:tc>
          <w:tcPr>
            <w:tcW w:w="1505" w:type="dxa"/>
            <w:tcBorders>
              <w:top w:val="nil"/>
              <w:left w:val="nil"/>
              <w:bottom w:val="nil"/>
              <w:right w:val="nil"/>
            </w:tcBorders>
            <w:vAlign w:val="center"/>
          </w:tcPr>
          <w:p w14:paraId="08E444B7" w14:textId="77777777" w:rsidR="00280129" w:rsidRPr="00557367" w:rsidRDefault="00280129" w:rsidP="00813421">
            <w:pPr>
              <w:spacing w:before="40" w:after="40" w:line="276" w:lineRule="auto"/>
              <w:ind w:firstLine="0"/>
              <w:rPr>
                <w:sz w:val="22"/>
                <w:szCs w:val="22"/>
              </w:rPr>
            </w:pPr>
            <w:r w:rsidRPr="00557367">
              <w:rPr>
                <w:sz w:val="22"/>
                <w:szCs w:val="22"/>
              </w:rPr>
              <w:t>0 (not members)</w:t>
            </w:r>
          </w:p>
        </w:tc>
        <w:tc>
          <w:tcPr>
            <w:tcW w:w="1506" w:type="dxa"/>
            <w:tcBorders>
              <w:top w:val="nil"/>
              <w:left w:val="nil"/>
              <w:bottom w:val="nil"/>
              <w:right w:val="nil"/>
            </w:tcBorders>
            <w:vAlign w:val="center"/>
          </w:tcPr>
          <w:p w14:paraId="08E444B8" w14:textId="62E0C29C" w:rsidR="00280129" w:rsidRPr="00557367" w:rsidRDefault="00280129" w:rsidP="00813421">
            <w:pPr>
              <w:spacing w:before="40" w:after="40" w:line="276" w:lineRule="auto"/>
              <w:ind w:firstLine="0"/>
              <w:rPr>
                <w:sz w:val="22"/>
                <w:szCs w:val="22"/>
              </w:rPr>
            </w:pPr>
            <w:r w:rsidRPr="00557367">
              <w:rPr>
                <w:sz w:val="22"/>
                <w:szCs w:val="22"/>
              </w:rPr>
              <w:t xml:space="preserve">3 </w:t>
            </w:r>
            <w:r w:rsidR="00E845AB" w:rsidRPr="00557367">
              <w:rPr>
                <w:sz w:val="22"/>
                <w:szCs w:val="22"/>
              </w:rPr>
              <w:t>(3+ organisations)</w:t>
            </w:r>
          </w:p>
        </w:tc>
        <w:tc>
          <w:tcPr>
            <w:tcW w:w="1506" w:type="dxa"/>
            <w:tcBorders>
              <w:top w:val="nil"/>
              <w:left w:val="nil"/>
              <w:bottom w:val="nil"/>
              <w:right w:val="nil"/>
            </w:tcBorders>
            <w:vAlign w:val="center"/>
          </w:tcPr>
          <w:p w14:paraId="08E444B9" w14:textId="3DE87089" w:rsidR="00280129" w:rsidRPr="00557367" w:rsidRDefault="009F3810" w:rsidP="00813421">
            <w:pPr>
              <w:spacing w:before="40" w:after="40" w:line="276" w:lineRule="auto"/>
              <w:ind w:firstLine="0"/>
              <w:rPr>
                <w:sz w:val="22"/>
                <w:szCs w:val="22"/>
              </w:rPr>
            </w:pPr>
            <w:r w:rsidRPr="00557367">
              <w:rPr>
                <w:sz w:val="22"/>
                <w:szCs w:val="22"/>
              </w:rPr>
              <w:t>0.32</w:t>
            </w:r>
          </w:p>
        </w:tc>
        <w:tc>
          <w:tcPr>
            <w:tcW w:w="1506" w:type="dxa"/>
            <w:tcBorders>
              <w:top w:val="nil"/>
              <w:left w:val="nil"/>
              <w:bottom w:val="nil"/>
            </w:tcBorders>
            <w:vAlign w:val="center"/>
          </w:tcPr>
          <w:p w14:paraId="08E444BA" w14:textId="12FAE323" w:rsidR="00280129" w:rsidRPr="00557367" w:rsidRDefault="009F3810" w:rsidP="00813421">
            <w:pPr>
              <w:spacing w:before="40" w:after="40" w:line="276" w:lineRule="auto"/>
              <w:ind w:firstLine="0"/>
              <w:rPr>
                <w:sz w:val="22"/>
                <w:szCs w:val="22"/>
              </w:rPr>
            </w:pPr>
            <w:r w:rsidRPr="00557367">
              <w:rPr>
                <w:sz w:val="22"/>
                <w:szCs w:val="22"/>
              </w:rPr>
              <w:t>0.69</w:t>
            </w:r>
          </w:p>
        </w:tc>
      </w:tr>
      <w:tr w:rsidR="009F3810" w:rsidRPr="00557367" w14:paraId="06A086DB" w14:textId="77777777" w:rsidTr="00E76E04">
        <w:trPr>
          <w:trHeight w:val="815"/>
        </w:trPr>
        <w:tc>
          <w:tcPr>
            <w:tcW w:w="2313" w:type="dxa"/>
            <w:tcBorders>
              <w:top w:val="nil"/>
              <w:bottom w:val="nil"/>
              <w:right w:val="nil"/>
            </w:tcBorders>
          </w:tcPr>
          <w:p w14:paraId="130A47AB" w14:textId="1E7E63B1" w:rsidR="009F3810" w:rsidRPr="00557367" w:rsidRDefault="009F3810" w:rsidP="00813421">
            <w:pPr>
              <w:spacing w:before="40" w:after="40" w:line="276" w:lineRule="auto"/>
              <w:ind w:firstLine="0"/>
              <w:rPr>
                <w:sz w:val="22"/>
                <w:szCs w:val="22"/>
              </w:rPr>
            </w:pPr>
            <w:r w:rsidRPr="00557367">
              <w:rPr>
                <w:sz w:val="22"/>
                <w:szCs w:val="22"/>
              </w:rPr>
              <w:t>Organisational membership in local organisations</w:t>
            </w:r>
          </w:p>
        </w:tc>
        <w:tc>
          <w:tcPr>
            <w:tcW w:w="1505" w:type="dxa"/>
            <w:tcBorders>
              <w:top w:val="nil"/>
              <w:left w:val="nil"/>
              <w:bottom w:val="nil"/>
              <w:right w:val="nil"/>
            </w:tcBorders>
            <w:vAlign w:val="center"/>
          </w:tcPr>
          <w:p w14:paraId="0C6C154F" w14:textId="0BC678A7" w:rsidR="009F3810" w:rsidRPr="00557367" w:rsidRDefault="009F3810" w:rsidP="00813421">
            <w:pPr>
              <w:spacing w:before="40" w:after="40" w:line="276" w:lineRule="auto"/>
              <w:ind w:firstLine="0"/>
              <w:rPr>
                <w:sz w:val="22"/>
                <w:szCs w:val="22"/>
              </w:rPr>
            </w:pPr>
            <w:r w:rsidRPr="00557367">
              <w:rPr>
                <w:sz w:val="22"/>
                <w:szCs w:val="22"/>
              </w:rPr>
              <w:t>0 (not member)</w:t>
            </w:r>
          </w:p>
        </w:tc>
        <w:tc>
          <w:tcPr>
            <w:tcW w:w="1506" w:type="dxa"/>
            <w:tcBorders>
              <w:top w:val="nil"/>
              <w:left w:val="nil"/>
              <w:bottom w:val="nil"/>
              <w:right w:val="nil"/>
            </w:tcBorders>
            <w:vAlign w:val="center"/>
          </w:tcPr>
          <w:p w14:paraId="297A354B" w14:textId="384ABEB7" w:rsidR="009F3810" w:rsidRPr="00557367" w:rsidRDefault="009F3810" w:rsidP="00813421">
            <w:pPr>
              <w:spacing w:before="40" w:after="40" w:line="276" w:lineRule="auto"/>
              <w:ind w:firstLine="0"/>
              <w:rPr>
                <w:sz w:val="22"/>
                <w:szCs w:val="22"/>
              </w:rPr>
            </w:pPr>
            <w:r w:rsidRPr="00557367">
              <w:rPr>
                <w:sz w:val="22"/>
                <w:szCs w:val="22"/>
              </w:rPr>
              <w:t>3 (3</w:t>
            </w:r>
            <w:r w:rsidR="00E845AB" w:rsidRPr="00557367">
              <w:rPr>
                <w:sz w:val="22"/>
                <w:szCs w:val="22"/>
              </w:rPr>
              <w:t>+</w:t>
            </w:r>
            <w:r w:rsidRPr="00557367">
              <w:rPr>
                <w:sz w:val="22"/>
                <w:szCs w:val="22"/>
              </w:rPr>
              <w:t xml:space="preserve"> organisations)</w:t>
            </w:r>
          </w:p>
        </w:tc>
        <w:tc>
          <w:tcPr>
            <w:tcW w:w="1506" w:type="dxa"/>
            <w:tcBorders>
              <w:top w:val="nil"/>
              <w:left w:val="nil"/>
              <w:bottom w:val="nil"/>
              <w:right w:val="nil"/>
            </w:tcBorders>
            <w:vAlign w:val="center"/>
          </w:tcPr>
          <w:p w14:paraId="505B3D8F" w14:textId="69BA6B0B" w:rsidR="009F3810" w:rsidRPr="00557367" w:rsidRDefault="009F3810" w:rsidP="00813421">
            <w:pPr>
              <w:spacing w:before="40" w:after="40" w:line="276" w:lineRule="auto"/>
              <w:ind w:firstLine="0"/>
              <w:rPr>
                <w:sz w:val="22"/>
                <w:szCs w:val="22"/>
              </w:rPr>
            </w:pPr>
            <w:r w:rsidRPr="00557367">
              <w:rPr>
                <w:sz w:val="22"/>
                <w:szCs w:val="22"/>
              </w:rPr>
              <w:t>0.37</w:t>
            </w:r>
          </w:p>
        </w:tc>
        <w:tc>
          <w:tcPr>
            <w:tcW w:w="1506" w:type="dxa"/>
            <w:tcBorders>
              <w:top w:val="nil"/>
              <w:left w:val="nil"/>
              <w:bottom w:val="nil"/>
            </w:tcBorders>
            <w:vAlign w:val="center"/>
          </w:tcPr>
          <w:p w14:paraId="57558372" w14:textId="2FA97504" w:rsidR="009F3810" w:rsidRPr="00557367" w:rsidRDefault="009F3810" w:rsidP="00813421">
            <w:pPr>
              <w:spacing w:before="40" w:after="40" w:line="276" w:lineRule="auto"/>
              <w:ind w:firstLine="0"/>
              <w:rPr>
                <w:sz w:val="22"/>
                <w:szCs w:val="22"/>
              </w:rPr>
            </w:pPr>
            <w:r w:rsidRPr="00557367">
              <w:rPr>
                <w:sz w:val="22"/>
                <w:szCs w:val="22"/>
              </w:rPr>
              <w:t>0.71</w:t>
            </w:r>
          </w:p>
        </w:tc>
      </w:tr>
      <w:tr w:rsidR="009F3810" w:rsidRPr="00557367" w14:paraId="08E444C7" w14:textId="77777777" w:rsidTr="00E76E04">
        <w:trPr>
          <w:trHeight w:val="874"/>
        </w:trPr>
        <w:tc>
          <w:tcPr>
            <w:tcW w:w="2313" w:type="dxa"/>
            <w:tcBorders>
              <w:top w:val="nil"/>
              <w:bottom w:val="nil"/>
              <w:right w:val="nil"/>
            </w:tcBorders>
            <w:shd w:val="clear" w:color="auto" w:fill="auto"/>
          </w:tcPr>
          <w:p w14:paraId="580F4C4C" w14:textId="77777777" w:rsidR="009F3810" w:rsidRPr="00557367" w:rsidRDefault="009F3810" w:rsidP="00813421">
            <w:pPr>
              <w:spacing w:before="40" w:after="40" w:line="276" w:lineRule="auto"/>
              <w:ind w:firstLine="0"/>
              <w:rPr>
                <w:sz w:val="22"/>
                <w:szCs w:val="22"/>
              </w:rPr>
            </w:pPr>
          </w:p>
          <w:p w14:paraId="08E444C2" w14:textId="77777777" w:rsidR="009F3810" w:rsidRPr="00557367" w:rsidRDefault="009F3810" w:rsidP="00813421">
            <w:pPr>
              <w:spacing w:before="40" w:after="40" w:line="276" w:lineRule="auto"/>
              <w:ind w:firstLine="0"/>
              <w:rPr>
                <w:sz w:val="22"/>
                <w:szCs w:val="22"/>
                <w:highlight w:val="yellow"/>
              </w:rPr>
            </w:pPr>
            <w:r w:rsidRPr="00557367">
              <w:rPr>
                <w:sz w:val="22"/>
                <w:szCs w:val="22"/>
              </w:rPr>
              <w:t>Age when finished full-time education</w:t>
            </w:r>
          </w:p>
        </w:tc>
        <w:tc>
          <w:tcPr>
            <w:tcW w:w="1505" w:type="dxa"/>
            <w:tcBorders>
              <w:top w:val="nil"/>
              <w:left w:val="nil"/>
              <w:bottom w:val="nil"/>
              <w:right w:val="nil"/>
            </w:tcBorders>
            <w:shd w:val="clear" w:color="auto" w:fill="auto"/>
            <w:vAlign w:val="center"/>
          </w:tcPr>
          <w:p w14:paraId="08E444C3" w14:textId="4B9E33EE" w:rsidR="009F3810" w:rsidRPr="00557367" w:rsidRDefault="009F3810" w:rsidP="00813421">
            <w:pPr>
              <w:spacing w:before="40" w:after="40" w:line="276" w:lineRule="auto"/>
              <w:ind w:firstLine="0"/>
              <w:rPr>
                <w:sz w:val="22"/>
                <w:szCs w:val="22"/>
              </w:rPr>
            </w:pPr>
            <w:r w:rsidRPr="00557367">
              <w:rPr>
                <w:sz w:val="22"/>
                <w:szCs w:val="22"/>
              </w:rPr>
              <w:t>10 (or younger)</w:t>
            </w:r>
          </w:p>
        </w:tc>
        <w:tc>
          <w:tcPr>
            <w:tcW w:w="1506" w:type="dxa"/>
            <w:tcBorders>
              <w:top w:val="nil"/>
              <w:left w:val="nil"/>
              <w:bottom w:val="nil"/>
              <w:right w:val="nil"/>
            </w:tcBorders>
            <w:shd w:val="clear" w:color="auto" w:fill="auto"/>
            <w:vAlign w:val="center"/>
          </w:tcPr>
          <w:p w14:paraId="08E444C4" w14:textId="5384D213" w:rsidR="009F3810" w:rsidRPr="00557367" w:rsidRDefault="009F3810" w:rsidP="00813421">
            <w:pPr>
              <w:spacing w:before="40" w:after="40" w:line="276" w:lineRule="auto"/>
              <w:ind w:firstLine="0"/>
              <w:rPr>
                <w:sz w:val="22"/>
                <w:szCs w:val="22"/>
              </w:rPr>
            </w:pPr>
            <w:r w:rsidRPr="00557367">
              <w:rPr>
                <w:sz w:val="22"/>
                <w:szCs w:val="22"/>
              </w:rPr>
              <w:t>30 (or older)</w:t>
            </w:r>
          </w:p>
        </w:tc>
        <w:tc>
          <w:tcPr>
            <w:tcW w:w="1506" w:type="dxa"/>
            <w:tcBorders>
              <w:top w:val="nil"/>
              <w:left w:val="nil"/>
              <w:bottom w:val="nil"/>
              <w:right w:val="nil"/>
            </w:tcBorders>
            <w:shd w:val="clear" w:color="auto" w:fill="auto"/>
            <w:vAlign w:val="center"/>
          </w:tcPr>
          <w:p w14:paraId="08E444C5" w14:textId="193201CD" w:rsidR="009F3810" w:rsidRPr="00557367" w:rsidRDefault="009F3810" w:rsidP="00813421">
            <w:pPr>
              <w:spacing w:before="40" w:after="40" w:line="276" w:lineRule="auto"/>
              <w:ind w:firstLine="0"/>
              <w:rPr>
                <w:sz w:val="22"/>
                <w:szCs w:val="22"/>
              </w:rPr>
            </w:pPr>
            <w:r w:rsidRPr="00557367">
              <w:rPr>
                <w:sz w:val="22"/>
                <w:szCs w:val="22"/>
              </w:rPr>
              <w:t>18.5</w:t>
            </w:r>
          </w:p>
        </w:tc>
        <w:tc>
          <w:tcPr>
            <w:tcW w:w="1506" w:type="dxa"/>
            <w:tcBorders>
              <w:top w:val="nil"/>
              <w:left w:val="nil"/>
              <w:bottom w:val="nil"/>
            </w:tcBorders>
            <w:shd w:val="clear" w:color="auto" w:fill="auto"/>
            <w:vAlign w:val="center"/>
          </w:tcPr>
          <w:p w14:paraId="08E444C6" w14:textId="2E7BDAA2" w:rsidR="009F3810" w:rsidRPr="00557367" w:rsidRDefault="009F3810" w:rsidP="00813421">
            <w:pPr>
              <w:spacing w:before="40" w:after="40" w:line="276" w:lineRule="auto"/>
              <w:ind w:firstLine="0"/>
              <w:rPr>
                <w:sz w:val="22"/>
                <w:szCs w:val="22"/>
              </w:rPr>
            </w:pPr>
            <w:r w:rsidRPr="00557367">
              <w:rPr>
                <w:sz w:val="22"/>
                <w:szCs w:val="22"/>
              </w:rPr>
              <w:t>4.3</w:t>
            </w:r>
          </w:p>
        </w:tc>
      </w:tr>
      <w:tr w:rsidR="009F3810" w:rsidRPr="00557367" w14:paraId="08E444CD" w14:textId="77777777" w:rsidTr="00E76E04">
        <w:trPr>
          <w:trHeight w:val="567"/>
        </w:trPr>
        <w:tc>
          <w:tcPr>
            <w:tcW w:w="2313" w:type="dxa"/>
            <w:tcBorders>
              <w:top w:val="nil"/>
              <w:bottom w:val="nil"/>
              <w:right w:val="nil"/>
            </w:tcBorders>
          </w:tcPr>
          <w:p w14:paraId="08E444C8" w14:textId="77777777" w:rsidR="009F3810" w:rsidRPr="00557367" w:rsidRDefault="009F3810" w:rsidP="00813421">
            <w:pPr>
              <w:spacing w:before="40" w:after="40" w:line="276" w:lineRule="auto"/>
              <w:ind w:firstLine="0"/>
              <w:rPr>
                <w:sz w:val="22"/>
                <w:szCs w:val="22"/>
              </w:rPr>
            </w:pPr>
            <w:r w:rsidRPr="00557367">
              <w:rPr>
                <w:sz w:val="22"/>
                <w:szCs w:val="22"/>
              </w:rPr>
              <w:t>Socio-economic status (self-placement)</w:t>
            </w:r>
          </w:p>
        </w:tc>
        <w:tc>
          <w:tcPr>
            <w:tcW w:w="1505" w:type="dxa"/>
            <w:tcBorders>
              <w:top w:val="nil"/>
              <w:left w:val="nil"/>
              <w:bottom w:val="nil"/>
              <w:right w:val="nil"/>
            </w:tcBorders>
            <w:vAlign w:val="center"/>
          </w:tcPr>
          <w:p w14:paraId="08E444C9" w14:textId="77777777" w:rsidR="009F3810" w:rsidRPr="00557367" w:rsidRDefault="009F3810" w:rsidP="00813421">
            <w:pPr>
              <w:spacing w:before="40" w:after="40" w:line="276" w:lineRule="auto"/>
              <w:ind w:firstLine="0"/>
              <w:rPr>
                <w:sz w:val="22"/>
                <w:szCs w:val="22"/>
              </w:rPr>
            </w:pPr>
            <w:r w:rsidRPr="00557367">
              <w:rPr>
                <w:sz w:val="22"/>
                <w:szCs w:val="22"/>
              </w:rPr>
              <w:t>1</w:t>
            </w:r>
          </w:p>
        </w:tc>
        <w:tc>
          <w:tcPr>
            <w:tcW w:w="1506" w:type="dxa"/>
            <w:tcBorders>
              <w:top w:val="nil"/>
              <w:left w:val="nil"/>
              <w:bottom w:val="nil"/>
              <w:right w:val="nil"/>
            </w:tcBorders>
            <w:vAlign w:val="center"/>
          </w:tcPr>
          <w:p w14:paraId="08E444CA" w14:textId="77777777" w:rsidR="009F3810" w:rsidRPr="00557367" w:rsidRDefault="009F3810" w:rsidP="00813421">
            <w:pPr>
              <w:spacing w:before="40" w:after="40" w:line="276" w:lineRule="auto"/>
              <w:ind w:firstLine="0"/>
              <w:rPr>
                <w:sz w:val="22"/>
                <w:szCs w:val="22"/>
              </w:rPr>
            </w:pPr>
            <w:r w:rsidRPr="00557367">
              <w:rPr>
                <w:sz w:val="22"/>
                <w:szCs w:val="22"/>
              </w:rPr>
              <w:t>10</w:t>
            </w:r>
          </w:p>
        </w:tc>
        <w:tc>
          <w:tcPr>
            <w:tcW w:w="1506" w:type="dxa"/>
            <w:tcBorders>
              <w:top w:val="nil"/>
              <w:left w:val="nil"/>
              <w:bottom w:val="nil"/>
              <w:right w:val="nil"/>
            </w:tcBorders>
            <w:vAlign w:val="center"/>
          </w:tcPr>
          <w:p w14:paraId="08E444CB" w14:textId="77777777" w:rsidR="009F3810" w:rsidRPr="00557367" w:rsidRDefault="009F3810" w:rsidP="00813421">
            <w:pPr>
              <w:spacing w:before="40" w:after="40" w:line="276" w:lineRule="auto"/>
              <w:ind w:firstLine="0"/>
              <w:rPr>
                <w:sz w:val="22"/>
                <w:szCs w:val="22"/>
              </w:rPr>
            </w:pPr>
            <w:r w:rsidRPr="00557367">
              <w:rPr>
                <w:sz w:val="22"/>
                <w:szCs w:val="22"/>
              </w:rPr>
              <w:t>5.4</w:t>
            </w:r>
          </w:p>
        </w:tc>
        <w:tc>
          <w:tcPr>
            <w:tcW w:w="1506" w:type="dxa"/>
            <w:tcBorders>
              <w:top w:val="nil"/>
              <w:left w:val="nil"/>
              <w:bottom w:val="nil"/>
            </w:tcBorders>
            <w:vAlign w:val="center"/>
          </w:tcPr>
          <w:p w14:paraId="08E444CC" w14:textId="77777777" w:rsidR="009F3810" w:rsidRPr="00557367" w:rsidRDefault="009F3810" w:rsidP="00813421">
            <w:pPr>
              <w:spacing w:before="40" w:after="40" w:line="276" w:lineRule="auto"/>
              <w:ind w:firstLine="0"/>
              <w:rPr>
                <w:sz w:val="22"/>
                <w:szCs w:val="22"/>
              </w:rPr>
            </w:pPr>
            <w:r w:rsidRPr="00557367">
              <w:rPr>
                <w:sz w:val="22"/>
                <w:szCs w:val="22"/>
              </w:rPr>
              <w:t>1.7</w:t>
            </w:r>
          </w:p>
        </w:tc>
      </w:tr>
      <w:tr w:rsidR="009F3810" w:rsidRPr="00557367" w14:paraId="08E444D6" w14:textId="77777777" w:rsidTr="00E76E04">
        <w:trPr>
          <w:trHeight w:val="320"/>
        </w:trPr>
        <w:tc>
          <w:tcPr>
            <w:tcW w:w="2313" w:type="dxa"/>
            <w:tcBorders>
              <w:top w:val="nil"/>
              <w:right w:val="nil"/>
            </w:tcBorders>
          </w:tcPr>
          <w:p w14:paraId="08E444D4" w14:textId="77777777" w:rsidR="009F3810" w:rsidRPr="00557367" w:rsidRDefault="009F3810" w:rsidP="00813421">
            <w:pPr>
              <w:spacing w:before="40" w:after="40" w:line="276" w:lineRule="auto"/>
              <w:ind w:firstLine="0"/>
              <w:rPr>
                <w:sz w:val="22"/>
                <w:szCs w:val="22"/>
              </w:rPr>
            </w:pPr>
          </w:p>
        </w:tc>
        <w:tc>
          <w:tcPr>
            <w:tcW w:w="6024" w:type="dxa"/>
            <w:gridSpan w:val="4"/>
            <w:tcBorders>
              <w:top w:val="nil"/>
              <w:left w:val="nil"/>
            </w:tcBorders>
            <w:vAlign w:val="center"/>
          </w:tcPr>
          <w:p w14:paraId="08E444D5" w14:textId="77777777" w:rsidR="009F3810" w:rsidRPr="00557367" w:rsidRDefault="009F3810" w:rsidP="00813421">
            <w:pPr>
              <w:spacing w:before="40" w:after="40" w:line="276" w:lineRule="auto"/>
              <w:ind w:firstLine="0"/>
              <w:rPr>
                <w:sz w:val="22"/>
                <w:szCs w:val="22"/>
              </w:rPr>
            </w:pPr>
          </w:p>
        </w:tc>
      </w:tr>
      <w:tr w:rsidR="009F3810" w:rsidRPr="00557367" w14:paraId="08E444DC" w14:textId="77777777" w:rsidTr="00E76E04">
        <w:trPr>
          <w:trHeight w:val="320"/>
        </w:trPr>
        <w:tc>
          <w:tcPr>
            <w:tcW w:w="2313" w:type="dxa"/>
            <w:tcBorders>
              <w:bottom w:val="single" w:sz="4" w:space="0" w:color="auto"/>
              <w:right w:val="nil"/>
            </w:tcBorders>
          </w:tcPr>
          <w:p w14:paraId="08E444D7" w14:textId="77777777" w:rsidR="009F3810" w:rsidRPr="00557367" w:rsidRDefault="009F3810" w:rsidP="00813421">
            <w:pPr>
              <w:spacing w:before="40" w:after="40" w:line="276" w:lineRule="auto"/>
              <w:ind w:firstLine="0"/>
              <w:rPr>
                <w:b/>
                <w:i/>
                <w:sz w:val="22"/>
                <w:szCs w:val="22"/>
              </w:rPr>
            </w:pPr>
            <w:r w:rsidRPr="00557367">
              <w:rPr>
                <w:b/>
                <w:i/>
                <w:sz w:val="22"/>
                <w:szCs w:val="22"/>
              </w:rPr>
              <w:t>Country level</w:t>
            </w:r>
          </w:p>
        </w:tc>
        <w:tc>
          <w:tcPr>
            <w:tcW w:w="1505" w:type="dxa"/>
            <w:tcBorders>
              <w:left w:val="nil"/>
              <w:bottom w:val="single" w:sz="4" w:space="0" w:color="auto"/>
              <w:right w:val="nil"/>
            </w:tcBorders>
            <w:vAlign w:val="center"/>
          </w:tcPr>
          <w:p w14:paraId="08E444D8" w14:textId="77777777" w:rsidR="009F3810" w:rsidRPr="00557367" w:rsidRDefault="009F3810" w:rsidP="00813421">
            <w:pPr>
              <w:spacing w:before="40" w:after="40" w:line="276" w:lineRule="auto"/>
              <w:ind w:firstLine="0"/>
              <w:rPr>
                <w:b/>
                <w:sz w:val="22"/>
                <w:szCs w:val="22"/>
              </w:rPr>
            </w:pPr>
            <w:r w:rsidRPr="00557367">
              <w:rPr>
                <w:b/>
                <w:sz w:val="22"/>
                <w:szCs w:val="22"/>
              </w:rPr>
              <w:t>Min</w:t>
            </w:r>
          </w:p>
        </w:tc>
        <w:tc>
          <w:tcPr>
            <w:tcW w:w="1506" w:type="dxa"/>
            <w:tcBorders>
              <w:left w:val="nil"/>
              <w:bottom w:val="single" w:sz="4" w:space="0" w:color="auto"/>
              <w:right w:val="nil"/>
            </w:tcBorders>
            <w:vAlign w:val="center"/>
          </w:tcPr>
          <w:p w14:paraId="08E444D9" w14:textId="77777777" w:rsidR="009F3810" w:rsidRPr="00557367" w:rsidRDefault="009F3810" w:rsidP="00813421">
            <w:pPr>
              <w:spacing w:before="40" w:after="40" w:line="276" w:lineRule="auto"/>
              <w:ind w:firstLine="0"/>
              <w:rPr>
                <w:b/>
                <w:sz w:val="22"/>
                <w:szCs w:val="22"/>
              </w:rPr>
            </w:pPr>
            <w:r w:rsidRPr="00557367">
              <w:rPr>
                <w:b/>
                <w:sz w:val="22"/>
                <w:szCs w:val="22"/>
              </w:rPr>
              <w:t>Max</w:t>
            </w:r>
          </w:p>
        </w:tc>
        <w:tc>
          <w:tcPr>
            <w:tcW w:w="1506" w:type="dxa"/>
            <w:tcBorders>
              <w:left w:val="nil"/>
              <w:bottom w:val="single" w:sz="4" w:space="0" w:color="auto"/>
              <w:right w:val="nil"/>
            </w:tcBorders>
            <w:vAlign w:val="center"/>
          </w:tcPr>
          <w:p w14:paraId="08E444DA" w14:textId="77777777" w:rsidR="009F3810" w:rsidRPr="00557367" w:rsidRDefault="009F3810" w:rsidP="00813421">
            <w:pPr>
              <w:spacing w:before="40" w:after="40" w:line="276" w:lineRule="auto"/>
              <w:ind w:firstLine="0"/>
              <w:rPr>
                <w:b/>
                <w:sz w:val="22"/>
                <w:szCs w:val="22"/>
              </w:rPr>
            </w:pPr>
            <w:r w:rsidRPr="00557367">
              <w:rPr>
                <w:b/>
                <w:sz w:val="22"/>
                <w:szCs w:val="22"/>
              </w:rPr>
              <w:t>Mean</w:t>
            </w:r>
          </w:p>
        </w:tc>
        <w:tc>
          <w:tcPr>
            <w:tcW w:w="1506" w:type="dxa"/>
            <w:tcBorders>
              <w:left w:val="nil"/>
              <w:bottom w:val="single" w:sz="4" w:space="0" w:color="auto"/>
            </w:tcBorders>
            <w:vAlign w:val="center"/>
          </w:tcPr>
          <w:p w14:paraId="08E444DB" w14:textId="77777777" w:rsidR="009F3810" w:rsidRPr="00557367" w:rsidRDefault="009F3810" w:rsidP="00813421">
            <w:pPr>
              <w:spacing w:before="40" w:after="40" w:line="276" w:lineRule="auto"/>
              <w:ind w:firstLine="0"/>
              <w:rPr>
                <w:b/>
                <w:sz w:val="22"/>
                <w:szCs w:val="22"/>
              </w:rPr>
            </w:pPr>
            <w:r w:rsidRPr="00557367">
              <w:rPr>
                <w:b/>
                <w:sz w:val="22"/>
                <w:szCs w:val="22"/>
              </w:rPr>
              <w:t>Std. Dev</w:t>
            </w:r>
          </w:p>
        </w:tc>
      </w:tr>
      <w:tr w:rsidR="009F3810" w:rsidRPr="00557367" w14:paraId="08E444E2" w14:textId="77777777" w:rsidTr="00E76E04">
        <w:trPr>
          <w:trHeight w:val="320"/>
        </w:trPr>
        <w:tc>
          <w:tcPr>
            <w:tcW w:w="2313" w:type="dxa"/>
            <w:tcBorders>
              <w:top w:val="single" w:sz="4" w:space="0" w:color="auto"/>
              <w:bottom w:val="nil"/>
              <w:right w:val="nil"/>
            </w:tcBorders>
          </w:tcPr>
          <w:p w14:paraId="08E444DD" w14:textId="77777777" w:rsidR="009F3810" w:rsidRPr="00557367" w:rsidRDefault="009F3810" w:rsidP="00813421">
            <w:pPr>
              <w:spacing w:before="40" w:after="40" w:line="276" w:lineRule="auto"/>
              <w:ind w:firstLine="0"/>
              <w:rPr>
                <w:sz w:val="22"/>
                <w:szCs w:val="22"/>
              </w:rPr>
            </w:pPr>
            <w:proofErr w:type="gramStart"/>
            <w:r w:rsidRPr="00557367">
              <w:rPr>
                <w:sz w:val="22"/>
                <w:szCs w:val="22"/>
              </w:rPr>
              <w:t>Log(</w:t>
            </w:r>
            <w:proofErr w:type="gramEnd"/>
            <w:r w:rsidRPr="00557367">
              <w:rPr>
                <w:sz w:val="22"/>
                <w:szCs w:val="22"/>
              </w:rPr>
              <w:t>GDP 2010[USD])</w:t>
            </w:r>
          </w:p>
        </w:tc>
        <w:tc>
          <w:tcPr>
            <w:tcW w:w="1505" w:type="dxa"/>
            <w:tcBorders>
              <w:top w:val="single" w:sz="4" w:space="0" w:color="auto"/>
              <w:left w:val="nil"/>
              <w:bottom w:val="nil"/>
              <w:right w:val="nil"/>
            </w:tcBorders>
            <w:vAlign w:val="center"/>
          </w:tcPr>
          <w:p w14:paraId="08E444DE" w14:textId="77777777" w:rsidR="009F3810" w:rsidRPr="00557367" w:rsidRDefault="009F3810" w:rsidP="00813421">
            <w:pPr>
              <w:spacing w:before="40" w:after="40" w:line="276" w:lineRule="auto"/>
              <w:ind w:firstLine="0"/>
              <w:rPr>
                <w:sz w:val="22"/>
                <w:szCs w:val="22"/>
              </w:rPr>
            </w:pPr>
            <w:r w:rsidRPr="00557367">
              <w:rPr>
                <w:sz w:val="22"/>
                <w:szCs w:val="22"/>
              </w:rPr>
              <w:t>8.44</w:t>
            </w:r>
          </w:p>
        </w:tc>
        <w:tc>
          <w:tcPr>
            <w:tcW w:w="1506" w:type="dxa"/>
            <w:tcBorders>
              <w:top w:val="single" w:sz="4" w:space="0" w:color="auto"/>
              <w:left w:val="nil"/>
              <w:bottom w:val="nil"/>
              <w:right w:val="nil"/>
            </w:tcBorders>
            <w:vAlign w:val="center"/>
          </w:tcPr>
          <w:p w14:paraId="08E444DF" w14:textId="77777777" w:rsidR="009F3810" w:rsidRPr="00557367" w:rsidRDefault="009F3810" w:rsidP="00813421">
            <w:pPr>
              <w:spacing w:before="40" w:after="40" w:line="276" w:lineRule="auto"/>
              <w:ind w:firstLine="0"/>
              <w:rPr>
                <w:sz w:val="22"/>
                <w:szCs w:val="22"/>
              </w:rPr>
            </w:pPr>
            <w:r w:rsidRPr="00557367">
              <w:rPr>
                <w:sz w:val="22"/>
                <w:szCs w:val="22"/>
              </w:rPr>
              <w:t>11.56</w:t>
            </w:r>
          </w:p>
        </w:tc>
        <w:tc>
          <w:tcPr>
            <w:tcW w:w="1506" w:type="dxa"/>
            <w:tcBorders>
              <w:top w:val="single" w:sz="4" w:space="0" w:color="auto"/>
              <w:left w:val="nil"/>
              <w:bottom w:val="nil"/>
              <w:right w:val="nil"/>
            </w:tcBorders>
            <w:vAlign w:val="center"/>
          </w:tcPr>
          <w:p w14:paraId="08E444E0" w14:textId="77777777" w:rsidR="009F3810" w:rsidRPr="00557367" w:rsidRDefault="009F3810" w:rsidP="00813421">
            <w:pPr>
              <w:spacing w:before="40" w:after="40" w:line="276" w:lineRule="auto"/>
              <w:ind w:firstLine="0"/>
              <w:rPr>
                <w:sz w:val="22"/>
                <w:szCs w:val="22"/>
              </w:rPr>
            </w:pPr>
            <w:r w:rsidRPr="00557367">
              <w:rPr>
                <w:sz w:val="22"/>
                <w:szCs w:val="22"/>
              </w:rPr>
              <w:t>10.02</w:t>
            </w:r>
          </w:p>
        </w:tc>
        <w:tc>
          <w:tcPr>
            <w:tcW w:w="1506" w:type="dxa"/>
            <w:tcBorders>
              <w:top w:val="single" w:sz="4" w:space="0" w:color="auto"/>
              <w:left w:val="nil"/>
              <w:bottom w:val="nil"/>
            </w:tcBorders>
            <w:vAlign w:val="center"/>
          </w:tcPr>
          <w:p w14:paraId="08E444E1" w14:textId="77777777" w:rsidR="009F3810" w:rsidRPr="00557367" w:rsidRDefault="009F3810" w:rsidP="00813421">
            <w:pPr>
              <w:spacing w:before="40" w:after="40" w:line="276" w:lineRule="auto"/>
              <w:ind w:firstLine="0"/>
              <w:rPr>
                <w:sz w:val="22"/>
                <w:szCs w:val="22"/>
              </w:rPr>
            </w:pPr>
            <w:r w:rsidRPr="00557367">
              <w:rPr>
                <w:sz w:val="22"/>
                <w:szCs w:val="22"/>
              </w:rPr>
              <w:t>0.71</w:t>
            </w:r>
          </w:p>
        </w:tc>
      </w:tr>
      <w:tr w:rsidR="009F3810" w:rsidRPr="00557367" w14:paraId="08E444E8" w14:textId="77777777" w:rsidTr="00E76E04">
        <w:trPr>
          <w:trHeight w:val="1077"/>
        </w:trPr>
        <w:tc>
          <w:tcPr>
            <w:tcW w:w="2313" w:type="dxa"/>
            <w:tcBorders>
              <w:top w:val="nil"/>
              <w:right w:val="nil"/>
            </w:tcBorders>
          </w:tcPr>
          <w:p w14:paraId="08E444E3" w14:textId="3C9B6BF6" w:rsidR="009F3810" w:rsidRPr="00557367" w:rsidRDefault="00E76E04" w:rsidP="00813421">
            <w:pPr>
              <w:spacing w:before="40" w:after="40" w:line="276" w:lineRule="auto"/>
              <w:ind w:firstLine="0"/>
              <w:rPr>
                <w:sz w:val="22"/>
                <w:szCs w:val="22"/>
              </w:rPr>
            </w:pPr>
            <w:r w:rsidRPr="00557367">
              <w:rPr>
                <w:sz w:val="22"/>
                <w:szCs w:val="22"/>
              </w:rPr>
              <w:t>L</w:t>
            </w:r>
            <w:r w:rsidR="00140BB0" w:rsidRPr="00557367">
              <w:rPr>
                <w:sz w:val="22"/>
                <w:szCs w:val="22"/>
              </w:rPr>
              <w:t xml:space="preserve">ocal government spending </w:t>
            </w:r>
            <w:r w:rsidRPr="00557367">
              <w:rPr>
                <w:sz w:val="22"/>
                <w:szCs w:val="22"/>
              </w:rPr>
              <w:t xml:space="preserve">/ central </w:t>
            </w:r>
            <w:r w:rsidR="00140BB0" w:rsidRPr="00557367">
              <w:rPr>
                <w:sz w:val="22"/>
                <w:szCs w:val="22"/>
              </w:rPr>
              <w:t>government spending</w:t>
            </w:r>
          </w:p>
        </w:tc>
        <w:tc>
          <w:tcPr>
            <w:tcW w:w="1505" w:type="dxa"/>
            <w:tcBorders>
              <w:top w:val="nil"/>
              <w:left w:val="nil"/>
              <w:right w:val="nil"/>
            </w:tcBorders>
            <w:vAlign w:val="center"/>
          </w:tcPr>
          <w:p w14:paraId="08E444E4" w14:textId="2DD45D48" w:rsidR="009F3810" w:rsidRPr="00557367" w:rsidRDefault="00140BB0" w:rsidP="00813421">
            <w:pPr>
              <w:spacing w:before="40" w:after="40" w:line="276" w:lineRule="auto"/>
              <w:ind w:firstLine="0"/>
              <w:rPr>
                <w:sz w:val="22"/>
                <w:szCs w:val="22"/>
              </w:rPr>
            </w:pPr>
            <w:r w:rsidRPr="00557367">
              <w:rPr>
                <w:sz w:val="22"/>
                <w:szCs w:val="22"/>
              </w:rPr>
              <w:t>1.4</w:t>
            </w:r>
          </w:p>
        </w:tc>
        <w:tc>
          <w:tcPr>
            <w:tcW w:w="1506" w:type="dxa"/>
            <w:tcBorders>
              <w:top w:val="nil"/>
              <w:left w:val="nil"/>
              <w:right w:val="nil"/>
            </w:tcBorders>
            <w:vAlign w:val="center"/>
          </w:tcPr>
          <w:p w14:paraId="08E444E5" w14:textId="0F341438" w:rsidR="009F3810" w:rsidRPr="00557367" w:rsidRDefault="00140BB0" w:rsidP="00813421">
            <w:pPr>
              <w:spacing w:before="40" w:after="40" w:line="276" w:lineRule="auto"/>
              <w:ind w:firstLine="0"/>
              <w:rPr>
                <w:sz w:val="22"/>
                <w:szCs w:val="22"/>
              </w:rPr>
            </w:pPr>
            <w:r w:rsidRPr="00557367">
              <w:rPr>
                <w:sz w:val="22"/>
                <w:szCs w:val="22"/>
              </w:rPr>
              <w:t>64.4</w:t>
            </w:r>
          </w:p>
        </w:tc>
        <w:tc>
          <w:tcPr>
            <w:tcW w:w="1506" w:type="dxa"/>
            <w:tcBorders>
              <w:top w:val="nil"/>
              <w:left w:val="nil"/>
              <w:right w:val="nil"/>
            </w:tcBorders>
            <w:vAlign w:val="center"/>
          </w:tcPr>
          <w:p w14:paraId="08E444E6" w14:textId="1CC0F23B" w:rsidR="009F3810" w:rsidRPr="00557367" w:rsidRDefault="00140BB0" w:rsidP="00813421">
            <w:pPr>
              <w:spacing w:before="40" w:after="40" w:line="276" w:lineRule="auto"/>
              <w:ind w:firstLine="0"/>
              <w:rPr>
                <w:sz w:val="22"/>
                <w:szCs w:val="22"/>
              </w:rPr>
            </w:pPr>
            <w:r w:rsidRPr="00557367">
              <w:rPr>
                <w:sz w:val="22"/>
                <w:szCs w:val="22"/>
              </w:rPr>
              <w:t>28.3</w:t>
            </w:r>
          </w:p>
        </w:tc>
        <w:tc>
          <w:tcPr>
            <w:tcW w:w="1506" w:type="dxa"/>
            <w:tcBorders>
              <w:top w:val="nil"/>
              <w:left w:val="nil"/>
            </w:tcBorders>
            <w:vAlign w:val="center"/>
          </w:tcPr>
          <w:p w14:paraId="08E444E7" w14:textId="2F9B911F" w:rsidR="009F3810" w:rsidRPr="00557367" w:rsidRDefault="00140BB0" w:rsidP="00813421">
            <w:pPr>
              <w:spacing w:before="40" w:after="40" w:line="276" w:lineRule="auto"/>
              <w:ind w:firstLine="0"/>
              <w:rPr>
                <w:sz w:val="22"/>
                <w:szCs w:val="22"/>
              </w:rPr>
            </w:pPr>
            <w:r w:rsidRPr="00557367">
              <w:rPr>
                <w:sz w:val="22"/>
                <w:szCs w:val="22"/>
              </w:rPr>
              <w:t>0.13</w:t>
            </w:r>
          </w:p>
        </w:tc>
      </w:tr>
    </w:tbl>
    <w:p w14:paraId="667DAFD6" w14:textId="77777777" w:rsidR="00E76E04" w:rsidRPr="00557367" w:rsidRDefault="00E76E04" w:rsidP="00813421">
      <w:pPr>
        <w:ind w:firstLine="0"/>
        <w:rPr>
          <w:sz w:val="20"/>
          <w:szCs w:val="20"/>
          <w:lang w:eastAsia="pt-PT"/>
        </w:rPr>
      </w:pPr>
      <w:r w:rsidRPr="00557367">
        <w:rPr>
          <w:sz w:val="20"/>
          <w:szCs w:val="20"/>
          <w:lang w:eastAsia="pt-PT"/>
        </w:rPr>
        <w:t>Note to table 2:</w:t>
      </w:r>
    </w:p>
    <w:p w14:paraId="7ECF9B80" w14:textId="77777777" w:rsidR="00E76E04" w:rsidRPr="00557367" w:rsidRDefault="00E76E04" w:rsidP="00813421">
      <w:pPr>
        <w:ind w:firstLine="0"/>
        <w:rPr>
          <w:sz w:val="20"/>
          <w:szCs w:val="20"/>
          <w:lang w:eastAsia="pt-PT"/>
        </w:rPr>
      </w:pPr>
      <w:r w:rsidRPr="00557367">
        <w:rPr>
          <w:sz w:val="20"/>
          <w:szCs w:val="20"/>
        </w:rPr>
        <w:t>n = 29,234 individuals from 31 countries: France, Belgium, The Netherlands, Germany, Italy, Luxembourg, Denmark, Ireland, United Kingdom, Greece, Spain, Portugal, Finland, Sweden, Austria, Cyprus, Czech Republic, Estonia, Hungary, Latvia, Lithuania, Malta, Poland, Slovakia, Slovenia, Bulgaria, Romania, Turkey, Croatia, Macedonia, and Iceland.</w:t>
      </w:r>
    </w:p>
    <w:p w14:paraId="08E444EB" w14:textId="5E23F14B" w:rsidR="00F10CBD" w:rsidRPr="00557367" w:rsidRDefault="00F10CBD" w:rsidP="00813421">
      <w:pPr>
        <w:spacing w:after="160" w:line="259" w:lineRule="auto"/>
        <w:ind w:firstLine="0"/>
        <w:rPr>
          <w:b/>
          <w:sz w:val="22"/>
          <w:lang w:eastAsia="pt-PT"/>
        </w:rPr>
      </w:pPr>
      <w:r w:rsidRPr="00557367">
        <w:rPr>
          <w:b/>
          <w:sz w:val="22"/>
          <w:lang w:eastAsia="pt-PT"/>
        </w:rPr>
        <w:lastRenderedPageBreak/>
        <w:t>Table 3. Frequency of outcomes: profiles of engagement</w:t>
      </w:r>
    </w:p>
    <w:tbl>
      <w:tblPr>
        <w:tblStyle w:val="TableGrid1"/>
        <w:tblW w:w="7095"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527"/>
        <w:gridCol w:w="1926"/>
        <w:gridCol w:w="1642"/>
      </w:tblGrid>
      <w:tr w:rsidR="00F10CBD" w:rsidRPr="00557367" w14:paraId="08E444EF" w14:textId="77777777" w:rsidTr="00846542">
        <w:trPr>
          <w:trHeight w:val="374"/>
          <w:jc w:val="center"/>
        </w:trPr>
        <w:tc>
          <w:tcPr>
            <w:tcW w:w="3527" w:type="dxa"/>
            <w:tcBorders>
              <w:top w:val="double" w:sz="4" w:space="0" w:color="auto"/>
              <w:bottom w:val="single" w:sz="4" w:space="0" w:color="auto"/>
            </w:tcBorders>
            <w:vAlign w:val="center"/>
          </w:tcPr>
          <w:p w14:paraId="08E444EC" w14:textId="77777777" w:rsidR="00F10CBD" w:rsidRPr="00557367" w:rsidRDefault="00F10CBD" w:rsidP="00813421">
            <w:pPr>
              <w:spacing w:before="120" w:after="120" w:line="240" w:lineRule="auto"/>
              <w:ind w:firstLine="0"/>
              <w:rPr>
                <w:sz w:val="20"/>
                <w:lang w:eastAsia="pt-PT"/>
              </w:rPr>
            </w:pPr>
            <w:r w:rsidRPr="00557367">
              <w:rPr>
                <w:sz w:val="20"/>
                <w:lang w:eastAsia="pt-PT"/>
              </w:rPr>
              <w:t>Profile</w:t>
            </w:r>
          </w:p>
        </w:tc>
        <w:tc>
          <w:tcPr>
            <w:tcW w:w="1926" w:type="dxa"/>
            <w:tcBorders>
              <w:top w:val="double" w:sz="4" w:space="0" w:color="auto"/>
              <w:bottom w:val="single" w:sz="4" w:space="0" w:color="auto"/>
            </w:tcBorders>
            <w:vAlign w:val="center"/>
            <w:hideMark/>
          </w:tcPr>
          <w:p w14:paraId="08E444ED" w14:textId="77777777" w:rsidR="00F10CBD" w:rsidRPr="00557367" w:rsidRDefault="00F10CBD" w:rsidP="00813421">
            <w:pPr>
              <w:spacing w:before="120" w:after="120" w:line="240" w:lineRule="auto"/>
              <w:ind w:firstLine="0"/>
              <w:rPr>
                <w:sz w:val="20"/>
                <w:lang w:eastAsia="pt-PT"/>
              </w:rPr>
            </w:pPr>
            <w:r w:rsidRPr="00557367">
              <w:rPr>
                <w:sz w:val="20"/>
                <w:lang w:eastAsia="pt-PT"/>
              </w:rPr>
              <w:t>Frequency</w:t>
            </w:r>
          </w:p>
        </w:tc>
        <w:tc>
          <w:tcPr>
            <w:tcW w:w="1642" w:type="dxa"/>
            <w:tcBorders>
              <w:top w:val="double" w:sz="4" w:space="0" w:color="auto"/>
              <w:bottom w:val="single" w:sz="4" w:space="0" w:color="auto"/>
            </w:tcBorders>
            <w:vAlign w:val="center"/>
            <w:hideMark/>
          </w:tcPr>
          <w:p w14:paraId="08E444EE" w14:textId="13213636" w:rsidR="00F10CBD" w:rsidRPr="00557367" w:rsidRDefault="00F10CBD" w:rsidP="00813421">
            <w:pPr>
              <w:spacing w:before="120" w:after="120" w:line="240" w:lineRule="auto"/>
              <w:ind w:firstLine="0"/>
              <w:rPr>
                <w:sz w:val="20"/>
                <w:lang w:eastAsia="pt-PT"/>
              </w:rPr>
            </w:pPr>
            <w:r w:rsidRPr="00557367">
              <w:rPr>
                <w:sz w:val="20"/>
                <w:lang w:eastAsia="pt-PT"/>
              </w:rPr>
              <w:t xml:space="preserve">Percent </w:t>
            </w:r>
            <w:r w:rsidR="00846542" w:rsidRPr="00557367">
              <w:rPr>
                <w:sz w:val="20"/>
                <w:lang w:eastAsia="pt-PT"/>
              </w:rPr>
              <w:t>in sample</w:t>
            </w:r>
          </w:p>
        </w:tc>
      </w:tr>
      <w:tr w:rsidR="00F10CBD" w:rsidRPr="00557367" w14:paraId="08E444F3" w14:textId="77777777" w:rsidTr="00846542">
        <w:trPr>
          <w:trHeight w:val="194"/>
          <w:jc w:val="center"/>
        </w:trPr>
        <w:tc>
          <w:tcPr>
            <w:tcW w:w="3527" w:type="dxa"/>
            <w:tcBorders>
              <w:bottom w:val="nil"/>
            </w:tcBorders>
            <w:vAlign w:val="center"/>
            <w:hideMark/>
          </w:tcPr>
          <w:p w14:paraId="08E444F0" w14:textId="04AA8FF5" w:rsidR="00F10CBD" w:rsidRPr="00557367" w:rsidRDefault="00F10CBD" w:rsidP="00813421">
            <w:pPr>
              <w:spacing w:before="60" w:after="60" w:line="240" w:lineRule="auto"/>
              <w:ind w:firstLine="0"/>
              <w:rPr>
                <w:sz w:val="20"/>
                <w:lang w:eastAsia="pt-PT"/>
              </w:rPr>
            </w:pPr>
            <w:r w:rsidRPr="00557367">
              <w:rPr>
                <w:sz w:val="20"/>
                <w:lang w:eastAsia="pt-PT"/>
              </w:rPr>
              <w:t>Disengaged - Not interested in none</w:t>
            </w:r>
            <w:r w:rsidR="00846542" w:rsidRPr="00557367">
              <w:rPr>
                <w:sz w:val="20"/>
                <w:lang w:eastAsia="pt-PT"/>
              </w:rPr>
              <w:t xml:space="preserve"> (D)</w:t>
            </w:r>
          </w:p>
        </w:tc>
        <w:tc>
          <w:tcPr>
            <w:tcW w:w="1926" w:type="dxa"/>
            <w:tcBorders>
              <w:bottom w:val="nil"/>
            </w:tcBorders>
            <w:hideMark/>
          </w:tcPr>
          <w:p w14:paraId="08E444F1" w14:textId="0198A215" w:rsidR="00F10CBD" w:rsidRPr="00557367" w:rsidRDefault="00EF3FEE" w:rsidP="00813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color w:val="000000"/>
                <w:sz w:val="20"/>
                <w:szCs w:val="20"/>
                <w:lang w:eastAsia="en-US"/>
              </w:rPr>
            </w:pPr>
            <w:r w:rsidRPr="00557367">
              <w:rPr>
                <w:color w:val="000000"/>
                <w:sz w:val="20"/>
                <w:szCs w:val="20"/>
                <w:lang w:eastAsia="en-US"/>
              </w:rPr>
              <w:t>5,092</w:t>
            </w:r>
          </w:p>
        </w:tc>
        <w:tc>
          <w:tcPr>
            <w:tcW w:w="1642" w:type="dxa"/>
            <w:tcBorders>
              <w:bottom w:val="nil"/>
            </w:tcBorders>
            <w:hideMark/>
          </w:tcPr>
          <w:p w14:paraId="08E444F2" w14:textId="586455EB" w:rsidR="00F10CBD" w:rsidRPr="00557367" w:rsidRDefault="00EF3FEE" w:rsidP="00813421">
            <w:pPr>
              <w:pStyle w:val="HTMLPreformatted"/>
              <w:shd w:val="clear" w:color="auto" w:fill="FFFFFF"/>
              <w:wordWrap w:val="0"/>
              <w:spacing w:line="225" w:lineRule="atLeast"/>
              <w:jc w:val="both"/>
              <w:rPr>
                <w:rFonts w:ascii="Times New Roman" w:hAnsi="Times New Roman" w:cs="Times New Roman"/>
                <w:color w:val="000000"/>
                <w:lang w:val="en-GB"/>
              </w:rPr>
            </w:pPr>
            <w:r w:rsidRPr="00557367">
              <w:rPr>
                <w:rFonts w:ascii="Times New Roman" w:hAnsi="Times New Roman" w:cs="Times New Roman"/>
                <w:color w:val="000000"/>
                <w:lang w:val="en-GB"/>
              </w:rPr>
              <w:t>17.7</w:t>
            </w:r>
          </w:p>
        </w:tc>
      </w:tr>
      <w:tr w:rsidR="00F10CBD" w:rsidRPr="00557367" w14:paraId="08E444F7" w14:textId="77777777" w:rsidTr="00846542">
        <w:trPr>
          <w:trHeight w:val="194"/>
          <w:jc w:val="center"/>
        </w:trPr>
        <w:tc>
          <w:tcPr>
            <w:tcW w:w="3527" w:type="dxa"/>
            <w:tcBorders>
              <w:top w:val="nil"/>
              <w:bottom w:val="nil"/>
            </w:tcBorders>
            <w:vAlign w:val="center"/>
            <w:hideMark/>
          </w:tcPr>
          <w:p w14:paraId="08E444F4" w14:textId="384DFBAA" w:rsidR="00F10CBD" w:rsidRPr="00557367" w:rsidRDefault="00F10CBD" w:rsidP="00813421">
            <w:pPr>
              <w:spacing w:before="60" w:after="60" w:line="240" w:lineRule="auto"/>
              <w:ind w:firstLine="0"/>
              <w:rPr>
                <w:sz w:val="20"/>
                <w:lang w:eastAsia="pt-PT"/>
              </w:rPr>
            </w:pPr>
            <w:r w:rsidRPr="00557367">
              <w:rPr>
                <w:sz w:val="20"/>
                <w:lang w:eastAsia="pt-PT"/>
              </w:rPr>
              <w:t>Equally interested</w:t>
            </w:r>
            <w:r w:rsidR="00846542" w:rsidRPr="00557367">
              <w:rPr>
                <w:sz w:val="20"/>
                <w:lang w:eastAsia="pt-PT"/>
              </w:rPr>
              <w:t xml:space="preserve"> (E)</w:t>
            </w:r>
          </w:p>
        </w:tc>
        <w:tc>
          <w:tcPr>
            <w:tcW w:w="1926" w:type="dxa"/>
            <w:tcBorders>
              <w:top w:val="nil"/>
              <w:bottom w:val="nil"/>
            </w:tcBorders>
            <w:hideMark/>
          </w:tcPr>
          <w:p w14:paraId="08E444F5" w14:textId="3D04F0DA" w:rsidR="00F10CBD" w:rsidRPr="00557367" w:rsidRDefault="00EF3FEE" w:rsidP="00813421">
            <w:pPr>
              <w:pStyle w:val="HTMLPreformatted"/>
              <w:shd w:val="clear" w:color="auto" w:fill="FFFFFF"/>
              <w:wordWrap w:val="0"/>
              <w:spacing w:line="225" w:lineRule="atLeast"/>
              <w:jc w:val="both"/>
              <w:rPr>
                <w:rFonts w:ascii="Times New Roman" w:hAnsi="Times New Roman" w:cs="Times New Roman"/>
                <w:color w:val="000000"/>
                <w:lang w:val="en-GB"/>
              </w:rPr>
            </w:pPr>
            <w:r w:rsidRPr="00557367">
              <w:rPr>
                <w:rFonts w:ascii="Times New Roman" w:hAnsi="Times New Roman" w:cs="Times New Roman"/>
                <w:color w:val="000000"/>
                <w:lang w:val="en-GB"/>
              </w:rPr>
              <w:t>15,797</w:t>
            </w:r>
          </w:p>
        </w:tc>
        <w:tc>
          <w:tcPr>
            <w:tcW w:w="1642" w:type="dxa"/>
            <w:tcBorders>
              <w:top w:val="nil"/>
              <w:bottom w:val="nil"/>
            </w:tcBorders>
            <w:hideMark/>
          </w:tcPr>
          <w:p w14:paraId="08E444F6" w14:textId="22F5A1DC" w:rsidR="00F10CBD" w:rsidRPr="00557367" w:rsidRDefault="00EF3FEE" w:rsidP="00813421">
            <w:pPr>
              <w:pStyle w:val="HTMLPreformatted"/>
              <w:shd w:val="clear" w:color="auto" w:fill="FFFFFF"/>
              <w:wordWrap w:val="0"/>
              <w:spacing w:line="225" w:lineRule="atLeast"/>
              <w:jc w:val="both"/>
              <w:rPr>
                <w:rFonts w:ascii="Times New Roman" w:hAnsi="Times New Roman" w:cs="Times New Roman"/>
                <w:color w:val="000000"/>
                <w:lang w:val="en-GB"/>
              </w:rPr>
            </w:pPr>
            <w:r w:rsidRPr="00557367">
              <w:rPr>
                <w:rFonts w:ascii="Times New Roman" w:hAnsi="Times New Roman" w:cs="Times New Roman"/>
                <w:color w:val="000000"/>
                <w:lang w:val="en-GB"/>
              </w:rPr>
              <w:t>55</w:t>
            </w:r>
            <w:r w:rsidR="00680B6E" w:rsidRPr="00557367">
              <w:rPr>
                <w:rFonts w:ascii="Times New Roman" w:hAnsi="Times New Roman" w:cs="Times New Roman"/>
                <w:color w:val="000000"/>
                <w:lang w:val="en-GB"/>
              </w:rPr>
              <w:t>.1</w:t>
            </w:r>
          </w:p>
        </w:tc>
      </w:tr>
      <w:tr w:rsidR="00F10CBD" w:rsidRPr="00557367" w14:paraId="08E444FB" w14:textId="77777777" w:rsidTr="00846542">
        <w:trPr>
          <w:trHeight w:val="194"/>
          <w:jc w:val="center"/>
        </w:trPr>
        <w:tc>
          <w:tcPr>
            <w:tcW w:w="3527" w:type="dxa"/>
            <w:tcBorders>
              <w:top w:val="nil"/>
              <w:bottom w:val="nil"/>
            </w:tcBorders>
            <w:vAlign w:val="center"/>
            <w:hideMark/>
          </w:tcPr>
          <w:p w14:paraId="08E444F8" w14:textId="1313F7F3" w:rsidR="00F10CBD" w:rsidRPr="00557367" w:rsidRDefault="00F10CBD" w:rsidP="00813421">
            <w:pPr>
              <w:spacing w:before="60" w:after="60" w:line="240" w:lineRule="auto"/>
              <w:ind w:firstLine="0"/>
              <w:rPr>
                <w:sz w:val="20"/>
                <w:lang w:eastAsia="pt-PT"/>
              </w:rPr>
            </w:pPr>
            <w:r w:rsidRPr="00557367">
              <w:rPr>
                <w:sz w:val="20"/>
                <w:lang w:eastAsia="pt-PT"/>
              </w:rPr>
              <w:t>More into national</w:t>
            </w:r>
            <w:r w:rsidR="00846542" w:rsidRPr="00557367">
              <w:rPr>
                <w:sz w:val="20"/>
                <w:lang w:eastAsia="pt-PT"/>
              </w:rPr>
              <w:t xml:space="preserve"> (N)</w:t>
            </w:r>
          </w:p>
        </w:tc>
        <w:tc>
          <w:tcPr>
            <w:tcW w:w="1926" w:type="dxa"/>
            <w:tcBorders>
              <w:top w:val="nil"/>
              <w:bottom w:val="nil"/>
            </w:tcBorders>
            <w:hideMark/>
          </w:tcPr>
          <w:p w14:paraId="08E444F9" w14:textId="54A4D330" w:rsidR="00F10CBD" w:rsidRPr="00557367" w:rsidRDefault="00EF3FEE" w:rsidP="00813421">
            <w:pPr>
              <w:spacing w:before="60" w:after="60" w:line="240" w:lineRule="auto"/>
              <w:ind w:firstLine="0"/>
              <w:rPr>
                <w:sz w:val="20"/>
                <w:lang w:eastAsia="pt-PT"/>
              </w:rPr>
            </w:pPr>
            <w:r w:rsidRPr="00557367">
              <w:rPr>
                <w:sz w:val="20"/>
                <w:lang w:eastAsia="pt-PT"/>
              </w:rPr>
              <w:t>3,633</w:t>
            </w:r>
          </w:p>
        </w:tc>
        <w:tc>
          <w:tcPr>
            <w:tcW w:w="1642" w:type="dxa"/>
            <w:tcBorders>
              <w:top w:val="nil"/>
              <w:bottom w:val="nil"/>
            </w:tcBorders>
            <w:hideMark/>
          </w:tcPr>
          <w:p w14:paraId="08E444FA" w14:textId="5246A8FC" w:rsidR="00F10CBD" w:rsidRPr="00557367" w:rsidRDefault="00EF3FEE" w:rsidP="00813421">
            <w:pPr>
              <w:pStyle w:val="HTMLPreformatted"/>
              <w:shd w:val="clear" w:color="auto" w:fill="FFFFFF"/>
              <w:wordWrap w:val="0"/>
              <w:spacing w:line="225" w:lineRule="atLeast"/>
              <w:jc w:val="both"/>
              <w:rPr>
                <w:rFonts w:ascii="Times New Roman" w:hAnsi="Times New Roman" w:cs="Times New Roman"/>
                <w:color w:val="000000"/>
                <w:lang w:val="en-GB"/>
              </w:rPr>
            </w:pPr>
            <w:r w:rsidRPr="00557367">
              <w:rPr>
                <w:rFonts w:ascii="Times New Roman" w:hAnsi="Times New Roman" w:cs="Times New Roman"/>
                <w:color w:val="000000"/>
                <w:lang w:val="en-GB"/>
              </w:rPr>
              <w:t>12.7</w:t>
            </w:r>
          </w:p>
        </w:tc>
      </w:tr>
      <w:tr w:rsidR="00F10CBD" w:rsidRPr="00557367" w14:paraId="08E444FF" w14:textId="77777777" w:rsidTr="00846542">
        <w:trPr>
          <w:trHeight w:val="181"/>
          <w:jc w:val="center"/>
        </w:trPr>
        <w:tc>
          <w:tcPr>
            <w:tcW w:w="3527" w:type="dxa"/>
            <w:tcBorders>
              <w:top w:val="nil"/>
              <w:bottom w:val="nil"/>
            </w:tcBorders>
            <w:vAlign w:val="center"/>
            <w:hideMark/>
          </w:tcPr>
          <w:p w14:paraId="08E444FC" w14:textId="6C1D6FC8" w:rsidR="00F10CBD" w:rsidRPr="00557367" w:rsidRDefault="00F10CBD" w:rsidP="00813421">
            <w:pPr>
              <w:spacing w:before="60" w:after="60" w:line="240" w:lineRule="auto"/>
              <w:ind w:firstLine="0"/>
              <w:rPr>
                <w:sz w:val="20"/>
                <w:lang w:eastAsia="pt-PT"/>
              </w:rPr>
            </w:pPr>
            <w:r w:rsidRPr="00557367">
              <w:rPr>
                <w:sz w:val="20"/>
                <w:lang w:eastAsia="pt-PT"/>
              </w:rPr>
              <w:t>More into local</w:t>
            </w:r>
            <w:r w:rsidR="00846542" w:rsidRPr="00557367">
              <w:rPr>
                <w:sz w:val="20"/>
                <w:lang w:eastAsia="pt-PT"/>
              </w:rPr>
              <w:t xml:space="preserve"> (L)</w:t>
            </w:r>
          </w:p>
        </w:tc>
        <w:tc>
          <w:tcPr>
            <w:tcW w:w="1926" w:type="dxa"/>
            <w:tcBorders>
              <w:top w:val="nil"/>
              <w:bottom w:val="nil"/>
            </w:tcBorders>
            <w:hideMark/>
          </w:tcPr>
          <w:p w14:paraId="08E444FD" w14:textId="7D23774D" w:rsidR="00F10CBD" w:rsidRPr="00557367" w:rsidRDefault="00EF3FEE" w:rsidP="00813421">
            <w:pPr>
              <w:pStyle w:val="HTMLPreformatted"/>
              <w:shd w:val="clear" w:color="auto" w:fill="FFFFFF"/>
              <w:wordWrap w:val="0"/>
              <w:spacing w:line="225" w:lineRule="atLeast"/>
              <w:jc w:val="both"/>
              <w:rPr>
                <w:rFonts w:ascii="Times New Roman" w:hAnsi="Times New Roman" w:cs="Times New Roman"/>
                <w:color w:val="000000"/>
                <w:lang w:val="en-GB"/>
              </w:rPr>
            </w:pPr>
            <w:r w:rsidRPr="00557367">
              <w:rPr>
                <w:rFonts w:ascii="Times New Roman" w:hAnsi="Times New Roman" w:cs="Times New Roman"/>
                <w:color w:val="000000"/>
                <w:lang w:val="en-GB"/>
              </w:rPr>
              <w:t>4,173</w:t>
            </w:r>
          </w:p>
        </w:tc>
        <w:tc>
          <w:tcPr>
            <w:tcW w:w="1642" w:type="dxa"/>
            <w:tcBorders>
              <w:top w:val="nil"/>
              <w:bottom w:val="nil"/>
            </w:tcBorders>
            <w:hideMark/>
          </w:tcPr>
          <w:p w14:paraId="08E444FE" w14:textId="4BF4276D" w:rsidR="00F10CBD" w:rsidRPr="00557367" w:rsidRDefault="00F10CBD" w:rsidP="00813421">
            <w:pPr>
              <w:spacing w:before="60" w:after="60" w:line="240" w:lineRule="auto"/>
              <w:ind w:firstLine="0"/>
              <w:rPr>
                <w:sz w:val="20"/>
                <w:lang w:eastAsia="pt-PT"/>
              </w:rPr>
            </w:pPr>
            <w:r w:rsidRPr="00557367">
              <w:rPr>
                <w:sz w:val="20"/>
                <w:lang w:eastAsia="pt-PT"/>
              </w:rPr>
              <w:t>1</w:t>
            </w:r>
            <w:r w:rsidR="00EF3FEE" w:rsidRPr="00557367">
              <w:rPr>
                <w:sz w:val="20"/>
                <w:lang w:eastAsia="pt-PT"/>
              </w:rPr>
              <w:t>4.5</w:t>
            </w:r>
          </w:p>
        </w:tc>
      </w:tr>
      <w:tr w:rsidR="00F10CBD" w:rsidRPr="00557367" w14:paraId="08E44503" w14:textId="77777777" w:rsidTr="00846542">
        <w:trPr>
          <w:trHeight w:val="194"/>
          <w:jc w:val="center"/>
        </w:trPr>
        <w:tc>
          <w:tcPr>
            <w:tcW w:w="3527" w:type="dxa"/>
            <w:tcBorders>
              <w:top w:val="nil"/>
              <w:bottom w:val="nil"/>
            </w:tcBorders>
            <w:vAlign w:val="center"/>
            <w:hideMark/>
          </w:tcPr>
          <w:p w14:paraId="08E44500" w14:textId="77777777" w:rsidR="00F10CBD" w:rsidRPr="00557367" w:rsidRDefault="00F10CBD" w:rsidP="00813421">
            <w:pPr>
              <w:spacing w:before="60" w:after="60" w:line="240" w:lineRule="auto"/>
              <w:ind w:firstLine="0"/>
              <w:rPr>
                <w:sz w:val="20"/>
                <w:lang w:eastAsia="pt-PT"/>
              </w:rPr>
            </w:pPr>
          </w:p>
        </w:tc>
        <w:tc>
          <w:tcPr>
            <w:tcW w:w="1926" w:type="dxa"/>
            <w:tcBorders>
              <w:top w:val="nil"/>
              <w:bottom w:val="nil"/>
            </w:tcBorders>
            <w:hideMark/>
          </w:tcPr>
          <w:p w14:paraId="08E44501" w14:textId="77777777" w:rsidR="00F10CBD" w:rsidRPr="00557367" w:rsidRDefault="00F10CBD" w:rsidP="00813421">
            <w:pPr>
              <w:spacing w:before="60" w:after="60" w:line="240" w:lineRule="auto"/>
              <w:ind w:firstLine="0"/>
              <w:rPr>
                <w:sz w:val="20"/>
                <w:lang w:eastAsia="pt-PT"/>
              </w:rPr>
            </w:pPr>
          </w:p>
        </w:tc>
        <w:tc>
          <w:tcPr>
            <w:tcW w:w="1642" w:type="dxa"/>
            <w:tcBorders>
              <w:top w:val="nil"/>
              <w:bottom w:val="nil"/>
            </w:tcBorders>
            <w:hideMark/>
          </w:tcPr>
          <w:p w14:paraId="08E44502" w14:textId="77777777" w:rsidR="00F10CBD" w:rsidRPr="00557367" w:rsidRDefault="00F10CBD" w:rsidP="00813421">
            <w:pPr>
              <w:spacing w:before="60" w:after="60" w:line="240" w:lineRule="auto"/>
              <w:ind w:firstLine="0"/>
              <w:rPr>
                <w:sz w:val="20"/>
                <w:lang w:eastAsia="pt-PT"/>
              </w:rPr>
            </w:pPr>
          </w:p>
        </w:tc>
      </w:tr>
      <w:tr w:rsidR="00F10CBD" w:rsidRPr="00557367" w14:paraId="08E44507" w14:textId="77777777" w:rsidTr="00846542">
        <w:trPr>
          <w:trHeight w:val="181"/>
          <w:jc w:val="center"/>
        </w:trPr>
        <w:tc>
          <w:tcPr>
            <w:tcW w:w="3527" w:type="dxa"/>
            <w:tcBorders>
              <w:top w:val="nil"/>
            </w:tcBorders>
            <w:vAlign w:val="center"/>
            <w:hideMark/>
          </w:tcPr>
          <w:p w14:paraId="08E44504" w14:textId="77777777" w:rsidR="00F10CBD" w:rsidRPr="00557367" w:rsidRDefault="00F10CBD" w:rsidP="00813421">
            <w:pPr>
              <w:spacing w:before="60" w:after="60" w:line="240" w:lineRule="auto"/>
              <w:ind w:firstLine="0"/>
              <w:rPr>
                <w:b/>
                <w:sz w:val="20"/>
                <w:lang w:eastAsia="pt-PT"/>
              </w:rPr>
            </w:pPr>
            <w:r w:rsidRPr="00557367">
              <w:rPr>
                <w:b/>
                <w:sz w:val="20"/>
                <w:lang w:eastAsia="pt-PT"/>
              </w:rPr>
              <w:t>Total</w:t>
            </w:r>
          </w:p>
        </w:tc>
        <w:tc>
          <w:tcPr>
            <w:tcW w:w="1926" w:type="dxa"/>
            <w:tcBorders>
              <w:top w:val="nil"/>
            </w:tcBorders>
            <w:hideMark/>
          </w:tcPr>
          <w:p w14:paraId="08E44505" w14:textId="08AA0236" w:rsidR="00F10CBD" w:rsidRPr="00557367" w:rsidRDefault="00EF3FEE" w:rsidP="00813421">
            <w:pPr>
              <w:spacing w:before="60" w:after="60" w:line="240" w:lineRule="auto"/>
              <w:ind w:firstLine="0"/>
              <w:rPr>
                <w:b/>
                <w:sz w:val="20"/>
                <w:lang w:eastAsia="pt-PT"/>
              </w:rPr>
            </w:pPr>
            <w:r w:rsidRPr="00557367">
              <w:rPr>
                <w:b/>
                <w:sz w:val="20"/>
                <w:lang w:eastAsia="pt-PT"/>
              </w:rPr>
              <w:t>28,695</w:t>
            </w:r>
          </w:p>
        </w:tc>
        <w:tc>
          <w:tcPr>
            <w:tcW w:w="1642" w:type="dxa"/>
            <w:tcBorders>
              <w:top w:val="nil"/>
            </w:tcBorders>
            <w:hideMark/>
          </w:tcPr>
          <w:p w14:paraId="08E44506" w14:textId="77777777" w:rsidR="00F10CBD" w:rsidRPr="00557367" w:rsidRDefault="00F10CBD" w:rsidP="00813421">
            <w:pPr>
              <w:spacing w:before="60" w:after="60" w:line="240" w:lineRule="auto"/>
              <w:ind w:firstLine="0"/>
              <w:rPr>
                <w:b/>
                <w:sz w:val="20"/>
                <w:lang w:eastAsia="pt-PT"/>
              </w:rPr>
            </w:pPr>
            <w:r w:rsidRPr="00557367">
              <w:rPr>
                <w:b/>
                <w:sz w:val="20"/>
                <w:lang w:eastAsia="pt-PT"/>
              </w:rPr>
              <w:t>100</w:t>
            </w:r>
          </w:p>
        </w:tc>
      </w:tr>
    </w:tbl>
    <w:p w14:paraId="08E44508" w14:textId="77777777" w:rsidR="00F10CBD" w:rsidRPr="00557367" w:rsidRDefault="00F10CBD" w:rsidP="00813421">
      <w:pPr>
        <w:spacing w:after="240" w:line="240" w:lineRule="auto"/>
        <w:rPr>
          <w:sz w:val="27"/>
          <w:szCs w:val="27"/>
          <w:lang w:eastAsia="pt-PT"/>
        </w:rPr>
      </w:pPr>
    </w:p>
    <w:p w14:paraId="08E44509" w14:textId="77777777" w:rsidR="00F10CBD" w:rsidRPr="00557367" w:rsidRDefault="00F10CBD" w:rsidP="00813421">
      <w:pPr>
        <w:spacing w:after="160" w:line="259" w:lineRule="auto"/>
        <w:ind w:firstLine="0"/>
        <w:rPr>
          <w:sz w:val="27"/>
          <w:szCs w:val="27"/>
          <w:lang w:eastAsia="pt-PT"/>
        </w:rPr>
      </w:pPr>
      <w:r w:rsidRPr="00557367">
        <w:rPr>
          <w:sz w:val="27"/>
          <w:szCs w:val="27"/>
          <w:lang w:eastAsia="pt-PT"/>
        </w:rPr>
        <w:br w:type="page"/>
      </w:r>
    </w:p>
    <w:p w14:paraId="08E4450A" w14:textId="77777777" w:rsidR="00F10CBD" w:rsidRPr="00557367" w:rsidRDefault="00F10CBD" w:rsidP="00813421">
      <w:pPr>
        <w:ind w:firstLine="0"/>
        <w:rPr>
          <w:b/>
          <w:sz w:val="20"/>
        </w:rPr>
      </w:pPr>
    </w:p>
    <w:p w14:paraId="08E4450B" w14:textId="77777777" w:rsidR="00F10CBD" w:rsidRPr="00557367" w:rsidRDefault="00F10CBD" w:rsidP="00813421">
      <w:pPr>
        <w:spacing w:after="160" w:line="259" w:lineRule="auto"/>
        <w:ind w:firstLine="0"/>
        <w:rPr>
          <w:b/>
          <w:sz w:val="20"/>
        </w:rPr>
      </w:pPr>
      <w:r w:rsidRPr="00557367">
        <w:rPr>
          <w:b/>
          <w:sz w:val="20"/>
        </w:rPr>
        <w:t>Figure 1. Distribution of profiles of engagement within countries (proportions)</w:t>
      </w:r>
    </w:p>
    <w:p w14:paraId="08E4450C" w14:textId="06DAD5CC" w:rsidR="00F10CBD" w:rsidRPr="00557367" w:rsidRDefault="00461F3B" w:rsidP="00813421">
      <w:pPr>
        <w:ind w:left="-993" w:firstLine="0"/>
      </w:pPr>
      <w:r w:rsidRPr="00557367">
        <w:rPr>
          <w:noProof/>
          <w:lang w:val="pt-PT" w:eastAsia="pt-PT"/>
        </w:rPr>
        <w:drawing>
          <wp:inline distT="0" distB="0" distL="0" distR="0" wp14:anchorId="144898CD" wp14:editId="2A5A7A41">
            <wp:extent cx="6761163" cy="482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plot.png"/>
                    <pic:cNvPicPr/>
                  </pic:nvPicPr>
                  <pic:blipFill>
                    <a:blip r:embed="rId8">
                      <a:extLst>
                        <a:ext uri="{28A0092B-C50C-407E-A947-70E740481C1C}">
                          <a14:useLocalDpi xmlns:a14="http://schemas.microsoft.com/office/drawing/2010/main" val="0"/>
                        </a:ext>
                      </a:extLst>
                    </a:blip>
                    <a:stretch>
                      <a:fillRect/>
                    </a:stretch>
                  </pic:blipFill>
                  <pic:spPr>
                    <a:xfrm>
                      <a:off x="0" y="0"/>
                      <a:ext cx="6764492" cy="4831553"/>
                    </a:xfrm>
                    <a:prstGeom prst="rect">
                      <a:avLst/>
                    </a:prstGeom>
                  </pic:spPr>
                </pic:pic>
              </a:graphicData>
            </a:graphic>
          </wp:inline>
        </w:drawing>
      </w:r>
    </w:p>
    <w:p w14:paraId="08E4450D" w14:textId="7F8C8E78" w:rsidR="00F10CBD" w:rsidRPr="00557367" w:rsidRDefault="00F10CBD" w:rsidP="00813421">
      <w:pPr>
        <w:spacing w:after="160" w:line="259" w:lineRule="auto"/>
        <w:ind w:firstLine="0"/>
        <w:rPr>
          <w:b/>
          <w:sz w:val="22"/>
          <w:lang w:eastAsia="pt-PT"/>
        </w:rPr>
      </w:pPr>
      <w:r w:rsidRPr="00557367">
        <w:rPr>
          <w:b/>
          <w:sz w:val="22"/>
          <w:lang w:eastAsia="pt-PT"/>
        </w:rPr>
        <w:br w:type="page"/>
      </w:r>
      <w:r w:rsidRPr="00557367">
        <w:rPr>
          <w:b/>
          <w:sz w:val="22"/>
          <w:lang w:eastAsia="pt-PT"/>
        </w:rPr>
        <w:lastRenderedPageBreak/>
        <w:t xml:space="preserve">Table 4. Multilevel logit coefficients </w:t>
      </w:r>
    </w:p>
    <w:tbl>
      <w:tblPr>
        <w:tblStyle w:val="TableGrid1"/>
        <w:tblW w:w="86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79"/>
        <w:gridCol w:w="1944"/>
        <w:gridCol w:w="1944"/>
        <w:gridCol w:w="1945"/>
      </w:tblGrid>
      <w:tr w:rsidR="00F10CBD" w:rsidRPr="00557367" w14:paraId="08E44510" w14:textId="77777777" w:rsidTr="00525543">
        <w:trPr>
          <w:trHeight w:val="302"/>
          <w:jc w:val="center"/>
        </w:trPr>
        <w:tc>
          <w:tcPr>
            <w:tcW w:w="2779" w:type="dxa"/>
            <w:tcBorders>
              <w:top w:val="double" w:sz="4" w:space="0" w:color="auto"/>
            </w:tcBorders>
            <w:noWrap/>
            <w:vAlign w:val="center"/>
            <w:hideMark/>
          </w:tcPr>
          <w:p w14:paraId="08E4450E" w14:textId="77777777" w:rsidR="00F10CBD" w:rsidRPr="00557367" w:rsidRDefault="00F10CBD" w:rsidP="00813421">
            <w:pPr>
              <w:spacing w:line="240" w:lineRule="auto"/>
              <w:ind w:firstLine="0"/>
              <w:rPr>
                <w:sz w:val="22"/>
                <w:szCs w:val="22"/>
                <w:lang w:eastAsia="pt-PT"/>
              </w:rPr>
            </w:pPr>
          </w:p>
        </w:tc>
        <w:tc>
          <w:tcPr>
            <w:tcW w:w="5833" w:type="dxa"/>
            <w:gridSpan w:val="3"/>
            <w:tcBorders>
              <w:top w:val="double" w:sz="4" w:space="0" w:color="auto"/>
              <w:bottom w:val="single" w:sz="4" w:space="0" w:color="auto"/>
            </w:tcBorders>
            <w:noWrap/>
            <w:vAlign w:val="center"/>
          </w:tcPr>
          <w:p w14:paraId="3DAD1BEC" w14:textId="77777777" w:rsidR="00C249B6" w:rsidRPr="00557367" w:rsidRDefault="00C249B6" w:rsidP="00813421">
            <w:pPr>
              <w:pStyle w:val="ListParagraph"/>
              <w:spacing w:line="240" w:lineRule="auto"/>
              <w:ind w:left="0" w:firstLine="0"/>
              <w:rPr>
                <w:color w:val="000000"/>
                <w:sz w:val="22"/>
                <w:szCs w:val="22"/>
                <w:lang w:eastAsia="pt-PT"/>
              </w:rPr>
            </w:pPr>
            <w:r w:rsidRPr="00557367">
              <w:rPr>
                <w:color w:val="000000"/>
                <w:sz w:val="22"/>
                <w:szCs w:val="22"/>
                <w:lang w:eastAsia="pt-PT"/>
              </w:rPr>
              <w:t>Dependent variable: Profile of political engagement</w:t>
            </w:r>
          </w:p>
          <w:p w14:paraId="04731284" w14:textId="707A753B" w:rsidR="00C249B6" w:rsidRPr="00557367" w:rsidRDefault="00C249B6" w:rsidP="00813421">
            <w:pPr>
              <w:pStyle w:val="ListParagraph"/>
              <w:spacing w:line="240" w:lineRule="auto"/>
              <w:ind w:left="0" w:firstLine="0"/>
              <w:rPr>
                <w:color w:val="000000"/>
                <w:sz w:val="22"/>
                <w:szCs w:val="22"/>
                <w:lang w:eastAsia="pt-PT"/>
              </w:rPr>
            </w:pPr>
            <w:r w:rsidRPr="00557367">
              <w:rPr>
                <w:color w:val="000000"/>
                <w:sz w:val="22"/>
                <w:szCs w:val="22"/>
                <w:lang w:eastAsia="pt-PT"/>
              </w:rPr>
              <w:t>Baseline: Equally engaged in local and national discussions</w:t>
            </w:r>
          </w:p>
          <w:p w14:paraId="08E4450F" w14:textId="2FC89948" w:rsidR="00F10CBD" w:rsidRPr="00557367" w:rsidRDefault="00F10CBD" w:rsidP="00813421">
            <w:pPr>
              <w:pStyle w:val="ListParagraph"/>
              <w:spacing w:line="240" w:lineRule="auto"/>
              <w:ind w:left="0" w:firstLine="0"/>
              <w:rPr>
                <w:color w:val="000000"/>
                <w:sz w:val="22"/>
                <w:szCs w:val="22"/>
                <w:lang w:eastAsia="pt-PT"/>
              </w:rPr>
            </w:pPr>
            <w:r w:rsidRPr="00557367">
              <w:rPr>
                <w:color w:val="000000"/>
                <w:sz w:val="22"/>
                <w:szCs w:val="22"/>
                <w:lang w:eastAsia="pt-PT"/>
              </w:rPr>
              <w:t>Contrast</w:t>
            </w:r>
          </w:p>
        </w:tc>
      </w:tr>
      <w:tr w:rsidR="00680B6E" w:rsidRPr="00557367" w14:paraId="08E44515" w14:textId="77777777" w:rsidTr="00525543">
        <w:trPr>
          <w:trHeight w:val="302"/>
          <w:jc w:val="center"/>
        </w:trPr>
        <w:tc>
          <w:tcPr>
            <w:tcW w:w="2779" w:type="dxa"/>
            <w:noWrap/>
            <w:vAlign w:val="center"/>
          </w:tcPr>
          <w:p w14:paraId="08E44511" w14:textId="3515127D" w:rsidR="00680B6E" w:rsidRPr="00557367" w:rsidRDefault="00680B6E" w:rsidP="00813421">
            <w:pPr>
              <w:spacing w:line="240" w:lineRule="auto"/>
              <w:ind w:firstLine="0"/>
              <w:rPr>
                <w:color w:val="000000"/>
                <w:sz w:val="22"/>
                <w:szCs w:val="22"/>
                <w:lang w:eastAsia="pt-PT"/>
              </w:rPr>
            </w:pPr>
          </w:p>
        </w:tc>
        <w:tc>
          <w:tcPr>
            <w:tcW w:w="1944" w:type="dxa"/>
            <w:tcBorders>
              <w:top w:val="single" w:sz="4" w:space="0" w:color="auto"/>
            </w:tcBorders>
            <w:noWrap/>
            <w:vAlign w:val="center"/>
          </w:tcPr>
          <w:p w14:paraId="08E44512" w14:textId="70246393" w:rsidR="00680B6E" w:rsidRPr="00557367" w:rsidRDefault="00680B6E" w:rsidP="00813421">
            <w:pPr>
              <w:spacing w:line="240" w:lineRule="auto"/>
              <w:ind w:firstLine="0"/>
              <w:rPr>
                <w:color w:val="000000"/>
                <w:sz w:val="22"/>
                <w:szCs w:val="22"/>
                <w:lang w:eastAsia="pt-PT"/>
              </w:rPr>
            </w:pPr>
            <w:r w:rsidRPr="00557367">
              <w:rPr>
                <w:sz w:val="22"/>
                <w:szCs w:val="22"/>
                <w:lang w:eastAsia="en-US"/>
              </w:rPr>
              <w:t>Disengaged</w:t>
            </w:r>
          </w:p>
        </w:tc>
        <w:tc>
          <w:tcPr>
            <w:tcW w:w="1944" w:type="dxa"/>
            <w:tcBorders>
              <w:top w:val="single" w:sz="4" w:space="0" w:color="auto"/>
            </w:tcBorders>
            <w:noWrap/>
            <w:vAlign w:val="center"/>
          </w:tcPr>
          <w:p w14:paraId="08E44513" w14:textId="7056D4A4" w:rsidR="00680B6E" w:rsidRPr="00557367" w:rsidRDefault="00680B6E" w:rsidP="00813421">
            <w:pPr>
              <w:spacing w:line="240" w:lineRule="auto"/>
              <w:ind w:firstLine="0"/>
              <w:rPr>
                <w:color w:val="000000"/>
                <w:sz w:val="22"/>
                <w:szCs w:val="22"/>
                <w:lang w:eastAsia="pt-PT"/>
              </w:rPr>
            </w:pPr>
            <w:r w:rsidRPr="00557367">
              <w:rPr>
                <w:sz w:val="22"/>
                <w:szCs w:val="22"/>
                <w:lang w:eastAsia="en-US"/>
              </w:rPr>
              <w:t>More into national</w:t>
            </w:r>
          </w:p>
        </w:tc>
        <w:tc>
          <w:tcPr>
            <w:tcW w:w="1945" w:type="dxa"/>
            <w:tcBorders>
              <w:top w:val="single" w:sz="4" w:space="0" w:color="auto"/>
              <w:left w:val="nil"/>
            </w:tcBorders>
            <w:noWrap/>
            <w:vAlign w:val="center"/>
          </w:tcPr>
          <w:p w14:paraId="08E44514" w14:textId="0268729E" w:rsidR="00680B6E" w:rsidRPr="00557367" w:rsidRDefault="00680B6E" w:rsidP="00813421">
            <w:pPr>
              <w:spacing w:line="240" w:lineRule="auto"/>
              <w:ind w:firstLine="0"/>
              <w:rPr>
                <w:color w:val="000000"/>
                <w:sz w:val="22"/>
                <w:szCs w:val="22"/>
                <w:lang w:eastAsia="pt-PT"/>
              </w:rPr>
            </w:pPr>
            <w:r w:rsidRPr="00557367">
              <w:rPr>
                <w:sz w:val="22"/>
                <w:szCs w:val="22"/>
                <w:lang w:eastAsia="en-US"/>
              </w:rPr>
              <w:t>More into local</w:t>
            </w:r>
          </w:p>
        </w:tc>
      </w:tr>
      <w:tr w:rsidR="00680B6E" w:rsidRPr="00557367" w14:paraId="08E4451A" w14:textId="77777777" w:rsidTr="00525543">
        <w:trPr>
          <w:trHeight w:val="302"/>
          <w:jc w:val="center"/>
        </w:trPr>
        <w:tc>
          <w:tcPr>
            <w:tcW w:w="2779" w:type="dxa"/>
            <w:tcBorders>
              <w:bottom w:val="single" w:sz="4" w:space="0" w:color="auto"/>
            </w:tcBorders>
            <w:noWrap/>
            <w:vAlign w:val="center"/>
            <w:hideMark/>
          </w:tcPr>
          <w:p w14:paraId="08E44516" w14:textId="77777777" w:rsidR="00680B6E" w:rsidRPr="00557367" w:rsidRDefault="00680B6E" w:rsidP="00813421">
            <w:pPr>
              <w:spacing w:line="240" w:lineRule="auto"/>
              <w:ind w:firstLine="0"/>
              <w:rPr>
                <w:color w:val="000000"/>
                <w:sz w:val="22"/>
                <w:szCs w:val="22"/>
                <w:lang w:eastAsia="pt-PT"/>
              </w:rPr>
            </w:pPr>
          </w:p>
        </w:tc>
        <w:tc>
          <w:tcPr>
            <w:tcW w:w="1944" w:type="dxa"/>
            <w:tcBorders>
              <w:bottom w:val="single" w:sz="4" w:space="0" w:color="auto"/>
            </w:tcBorders>
            <w:noWrap/>
            <w:vAlign w:val="center"/>
            <w:hideMark/>
          </w:tcPr>
          <w:p w14:paraId="08E44517" w14:textId="6AE7EF86" w:rsidR="00680B6E" w:rsidRPr="00557367" w:rsidRDefault="00680B6E" w:rsidP="00813421">
            <w:pPr>
              <w:spacing w:line="240" w:lineRule="auto"/>
              <w:ind w:firstLine="0"/>
              <w:rPr>
                <w:color w:val="000000"/>
                <w:sz w:val="22"/>
                <w:szCs w:val="22"/>
                <w:lang w:eastAsia="pt-PT"/>
              </w:rPr>
            </w:pPr>
            <w:r w:rsidRPr="00557367">
              <w:rPr>
                <w:sz w:val="22"/>
                <w:szCs w:val="22"/>
                <w:lang w:eastAsia="en-US"/>
              </w:rPr>
              <w:t>(1)</w:t>
            </w:r>
          </w:p>
        </w:tc>
        <w:tc>
          <w:tcPr>
            <w:tcW w:w="1944" w:type="dxa"/>
            <w:tcBorders>
              <w:bottom w:val="single" w:sz="4" w:space="0" w:color="auto"/>
            </w:tcBorders>
            <w:noWrap/>
            <w:vAlign w:val="center"/>
            <w:hideMark/>
          </w:tcPr>
          <w:p w14:paraId="08E44518" w14:textId="57A249EC" w:rsidR="00680B6E" w:rsidRPr="00557367" w:rsidRDefault="00680B6E" w:rsidP="00813421">
            <w:pPr>
              <w:spacing w:line="240" w:lineRule="auto"/>
              <w:ind w:firstLine="0"/>
              <w:rPr>
                <w:color w:val="000000"/>
                <w:sz w:val="22"/>
                <w:szCs w:val="22"/>
                <w:lang w:eastAsia="pt-PT"/>
              </w:rPr>
            </w:pPr>
            <w:r w:rsidRPr="00557367">
              <w:rPr>
                <w:sz w:val="22"/>
                <w:szCs w:val="22"/>
                <w:lang w:eastAsia="en-US"/>
              </w:rPr>
              <w:t>(2)</w:t>
            </w:r>
          </w:p>
        </w:tc>
        <w:tc>
          <w:tcPr>
            <w:tcW w:w="1945" w:type="dxa"/>
            <w:tcBorders>
              <w:left w:val="nil"/>
              <w:bottom w:val="single" w:sz="4" w:space="0" w:color="auto"/>
            </w:tcBorders>
            <w:noWrap/>
            <w:vAlign w:val="center"/>
            <w:hideMark/>
          </w:tcPr>
          <w:p w14:paraId="08E44519" w14:textId="3AB0B319" w:rsidR="00680B6E" w:rsidRPr="00557367" w:rsidRDefault="00680B6E" w:rsidP="00813421">
            <w:pPr>
              <w:spacing w:line="240" w:lineRule="auto"/>
              <w:ind w:firstLine="0"/>
              <w:rPr>
                <w:color w:val="000000"/>
                <w:sz w:val="22"/>
                <w:szCs w:val="22"/>
                <w:lang w:eastAsia="pt-PT"/>
              </w:rPr>
            </w:pPr>
            <w:r w:rsidRPr="00557367">
              <w:rPr>
                <w:sz w:val="22"/>
                <w:szCs w:val="22"/>
                <w:lang w:eastAsia="en-US"/>
              </w:rPr>
              <w:t>(3)</w:t>
            </w:r>
          </w:p>
        </w:tc>
      </w:tr>
      <w:tr w:rsidR="00F10CBD" w:rsidRPr="00557367" w14:paraId="08E4451F" w14:textId="77777777" w:rsidTr="00525543">
        <w:trPr>
          <w:trHeight w:val="302"/>
          <w:jc w:val="center"/>
        </w:trPr>
        <w:tc>
          <w:tcPr>
            <w:tcW w:w="2779" w:type="dxa"/>
            <w:tcBorders>
              <w:top w:val="single" w:sz="4" w:space="0" w:color="auto"/>
            </w:tcBorders>
            <w:noWrap/>
            <w:vAlign w:val="center"/>
          </w:tcPr>
          <w:p w14:paraId="08E4451B" w14:textId="77777777" w:rsidR="00F10CBD" w:rsidRPr="00557367" w:rsidRDefault="00F10CBD" w:rsidP="00813421">
            <w:pPr>
              <w:spacing w:line="240" w:lineRule="auto"/>
              <w:ind w:firstLine="0"/>
              <w:rPr>
                <w:b/>
                <w:color w:val="000000"/>
                <w:sz w:val="22"/>
                <w:szCs w:val="22"/>
                <w:lang w:eastAsia="pt-PT"/>
              </w:rPr>
            </w:pPr>
            <w:r w:rsidRPr="00557367">
              <w:rPr>
                <w:b/>
                <w:color w:val="000000"/>
                <w:sz w:val="22"/>
                <w:szCs w:val="22"/>
                <w:lang w:eastAsia="pt-PT"/>
              </w:rPr>
              <w:t xml:space="preserve">Fixed effects </w:t>
            </w:r>
          </w:p>
        </w:tc>
        <w:tc>
          <w:tcPr>
            <w:tcW w:w="1944" w:type="dxa"/>
            <w:tcBorders>
              <w:top w:val="nil"/>
              <w:left w:val="nil"/>
              <w:bottom w:val="nil"/>
              <w:right w:val="nil"/>
            </w:tcBorders>
            <w:shd w:val="clear" w:color="auto" w:fill="auto"/>
            <w:noWrap/>
            <w:vAlign w:val="center"/>
          </w:tcPr>
          <w:p w14:paraId="08E4451C" w14:textId="77777777" w:rsidR="00F10CBD" w:rsidRPr="00557367" w:rsidRDefault="00F10CBD" w:rsidP="00813421">
            <w:pPr>
              <w:spacing w:line="240" w:lineRule="auto"/>
              <w:ind w:firstLine="0"/>
              <w:rPr>
                <w:color w:val="000000"/>
                <w:sz w:val="22"/>
                <w:szCs w:val="22"/>
              </w:rPr>
            </w:pPr>
          </w:p>
        </w:tc>
        <w:tc>
          <w:tcPr>
            <w:tcW w:w="1944" w:type="dxa"/>
            <w:tcBorders>
              <w:top w:val="nil"/>
              <w:left w:val="nil"/>
              <w:bottom w:val="nil"/>
              <w:right w:val="nil"/>
            </w:tcBorders>
            <w:shd w:val="clear" w:color="auto" w:fill="auto"/>
            <w:noWrap/>
            <w:vAlign w:val="center"/>
          </w:tcPr>
          <w:p w14:paraId="08E4451D" w14:textId="77777777" w:rsidR="00F10CBD" w:rsidRPr="00557367" w:rsidRDefault="00F10CBD" w:rsidP="00813421">
            <w:pPr>
              <w:spacing w:line="240" w:lineRule="auto"/>
              <w:ind w:firstLine="0"/>
              <w:rPr>
                <w:color w:val="000000"/>
                <w:sz w:val="22"/>
                <w:szCs w:val="22"/>
              </w:rPr>
            </w:pPr>
          </w:p>
        </w:tc>
        <w:tc>
          <w:tcPr>
            <w:tcW w:w="1945" w:type="dxa"/>
            <w:tcBorders>
              <w:top w:val="nil"/>
              <w:left w:val="nil"/>
              <w:bottom w:val="nil"/>
              <w:right w:val="nil"/>
            </w:tcBorders>
            <w:shd w:val="clear" w:color="auto" w:fill="auto"/>
            <w:noWrap/>
            <w:vAlign w:val="center"/>
          </w:tcPr>
          <w:p w14:paraId="08E4451E" w14:textId="77777777" w:rsidR="00F10CBD" w:rsidRPr="00557367" w:rsidRDefault="00F10CBD" w:rsidP="00813421">
            <w:pPr>
              <w:spacing w:line="240" w:lineRule="auto"/>
              <w:ind w:firstLine="0"/>
              <w:rPr>
                <w:color w:val="000000"/>
                <w:sz w:val="22"/>
                <w:szCs w:val="22"/>
              </w:rPr>
            </w:pPr>
          </w:p>
        </w:tc>
      </w:tr>
      <w:tr w:rsidR="006B048C" w:rsidRPr="00557367" w14:paraId="08E44524" w14:textId="77777777" w:rsidTr="00525543">
        <w:trPr>
          <w:trHeight w:val="302"/>
          <w:jc w:val="center"/>
        </w:trPr>
        <w:tc>
          <w:tcPr>
            <w:tcW w:w="2779" w:type="dxa"/>
            <w:noWrap/>
            <w:vAlign w:val="center"/>
          </w:tcPr>
          <w:p w14:paraId="08E44520" w14:textId="77777777" w:rsidR="006B048C" w:rsidRPr="00557367" w:rsidRDefault="006B048C" w:rsidP="00813421">
            <w:pPr>
              <w:spacing w:line="240" w:lineRule="auto"/>
              <w:ind w:firstLine="0"/>
              <w:rPr>
                <w:color w:val="000000"/>
                <w:sz w:val="22"/>
                <w:szCs w:val="22"/>
                <w:lang w:eastAsia="pt-PT"/>
              </w:rPr>
            </w:pPr>
            <w:r w:rsidRPr="00557367">
              <w:rPr>
                <w:color w:val="000000"/>
                <w:sz w:val="22"/>
                <w:szCs w:val="22"/>
                <w:lang w:eastAsia="pt-PT"/>
              </w:rPr>
              <w:t>Intercept</w:t>
            </w:r>
          </w:p>
        </w:tc>
        <w:tc>
          <w:tcPr>
            <w:tcW w:w="1944" w:type="dxa"/>
            <w:tcBorders>
              <w:top w:val="nil"/>
              <w:left w:val="nil"/>
              <w:bottom w:val="nil"/>
              <w:right w:val="nil"/>
            </w:tcBorders>
            <w:shd w:val="clear" w:color="auto" w:fill="auto"/>
            <w:noWrap/>
            <w:vAlign w:val="center"/>
          </w:tcPr>
          <w:p w14:paraId="08E44521" w14:textId="407D0C09" w:rsidR="006B048C" w:rsidRPr="00557367" w:rsidRDefault="006B048C" w:rsidP="00813421">
            <w:pPr>
              <w:spacing w:line="240" w:lineRule="auto"/>
              <w:ind w:firstLine="0"/>
              <w:rPr>
                <w:color w:val="000000"/>
                <w:sz w:val="22"/>
                <w:szCs w:val="22"/>
              </w:rPr>
            </w:pPr>
            <w:r w:rsidRPr="00557367">
              <w:rPr>
                <w:sz w:val="22"/>
                <w:szCs w:val="22"/>
                <w:lang w:eastAsia="en-US"/>
              </w:rPr>
              <w:t>2.70 (0.20, 5.20)</w:t>
            </w:r>
          </w:p>
        </w:tc>
        <w:tc>
          <w:tcPr>
            <w:tcW w:w="1944" w:type="dxa"/>
            <w:tcBorders>
              <w:top w:val="nil"/>
              <w:left w:val="nil"/>
              <w:bottom w:val="nil"/>
              <w:right w:val="nil"/>
            </w:tcBorders>
            <w:shd w:val="clear" w:color="auto" w:fill="auto"/>
            <w:noWrap/>
            <w:vAlign w:val="center"/>
          </w:tcPr>
          <w:p w14:paraId="08E44522" w14:textId="70C50EA3" w:rsidR="006B048C" w:rsidRPr="00557367" w:rsidRDefault="006B048C" w:rsidP="00813421">
            <w:pPr>
              <w:spacing w:line="240" w:lineRule="auto"/>
              <w:ind w:firstLine="0"/>
              <w:rPr>
                <w:color w:val="000000"/>
                <w:sz w:val="22"/>
                <w:szCs w:val="22"/>
              </w:rPr>
            </w:pPr>
            <w:r w:rsidRPr="00557367">
              <w:rPr>
                <w:sz w:val="22"/>
                <w:szCs w:val="22"/>
                <w:lang w:eastAsia="en-US"/>
              </w:rPr>
              <w:t xml:space="preserve">0.01 (-1.85, </w:t>
            </w:r>
            <w:proofErr w:type="gramStart"/>
            <w:r w:rsidRPr="00557367">
              <w:rPr>
                <w:sz w:val="22"/>
                <w:szCs w:val="22"/>
                <w:lang w:eastAsia="en-US"/>
              </w:rPr>
              <w:t>1.87)</w:t>
            </w:r>
            <w:r w:rsidRPr="00557367">
              <w:rPr>
                <w:sz w:val="22"/>
                <w:szCs w:val="22"/>
                <w:vertAlign w:val="superscript"/>
                <w:lang w:eastAsia="en-US"/>
              </w:rPr>
              <w:t>*</w:t>
            </w:r>
            <w:proofErr w:type="gramEnd"/>
          </w:p>
        </w:tc>
        <w:tc>
          <w:tcPr>
            <w:tcW w:w="1945" w:type="dxa"/>
            <w:tcBorders>
              <w:top w:val="nil"/>
              <w:left w:val="nil"/>
              <w:bottom w:val="nil"/>
              <w:right w:val="nil"/>
            </w:tcBorders>
            <w:shd w:val="clear" w:color="auto" w:fill="auto"/>
            <w:noWrap/>
            <w:vAlign w:val="center"/>
          </w:tcPr>
          <w:p w14:paraId="08E44523" w14:textId="7C8741E9" w:rsidR="006B048C" w:rsidRPr="00557367" w:rsidRDefault="006B048C" w:rsidP="00813421">
            <w:pPr>
              <w:spacing w:line="240" w:lineRule="auto"/>
              <w:ind w:firstLine="0"/>
              <w:rPr>
                <w:color w:val="000000"/>
                <w:sz w:val="22"/>
                <w:szCs w:val="22"/>
              </w:rPr>
            </w:pPr>
            <w:r w:rsidRPr="00557367">
              <w:rPr>
                <w:sz w:val="22"/>
                <w:szCs w:val="22"/>
                <w:lang w:eastAsia="en-US"/>
              </w:rPr>
              <w:t xml:space="preserve">0.23 (-1.16, </w:t>
            </w:r>
            <w:proofErr w:type="gramStart"/>
            <w:r w:rsidRPr="00557367">
              <w:rPr>
                <w:sz w:val="22"/>
                <w:szCs w:val="22"/>
                <w:lang w:eastAsia="en-US"/>
              </w:rPr>
              <w:t>1.62)</w:t>
            </w:r>
            <w:r w:rsidRPr="00557367">
              <w:rPr>
                <w:sz w:val="22"/>
                <w:szCs w:val="22"/>
                <w:vertAlign w:val="superscript"/>
                <w:lang w:eastAsia="en-US"/>
              </w:rPr>
              <w:t>‡</w:t>
            </w:r>
            <w:proofErr w:type="gramEnd"/>
          </w:p>
        </w:tc>
      </w:tr>
      <w:tr w:rsidR="00F10CBD" w:rsidRPr="00557367" w14:paraId="08E44529" w14:textId="77777777" w:rsidTr="00525543">
        <w:trPr>
          <w:trHeight w:val="302"/>
          <w:jc w:val="center"/>
        </w:trPr>
        <w:tc>
          <w:tcPr>
            <w:tcW w:w="2779" w:type="dxa"/>
            <w:noWrap/>
            <w:vAlign w:val="center"/>
          </w:tcPr>
          <w:p w14:paraId="08E44525" w14:textId="77777777" w:rsidR="00F10CBD" w:rsidRPr="00557367" w:rsidRDefault="00F10CBD" w:rsidP="00813421">
            <w:pPr>
              <w:spacing w:line="240" w:lineRule="auto"/>
              <w:ind w:firstLine="0"/>
              <w:rPr>
                <w:i/>
                <w:color w:val="000000"/>
                <w:sz w:val="22"/>
                <w:szCs w:val="22"/>
                <w:lang w:eastAsia="pt-PT"/>
              </w:rPr>
            </w:pPr>
          </w:p>
        </w:tc>
        <w:tc>
          <w:tcPr>
            <w:tcW w:w="1944" w:type="dxa"/>
            <w:tcBorders>
              <w:top w:val="nil"/>
              <w:left w:val="nil"/>
              <w:bottom w:val="nil"/>
              <w:right w:val="nil"/>
            </w:tcBorders>
            <w:shd w:val="clear" w:color="auto" w:fill="auto"/>
            <w:noWrap/>
            <w:vAlign w:val="center"/>
          </w:tcPr>
          <w:p w14:paraId="08E44526" w14:textId="77777777" w:rsidR="00F10CBD" w:rsidRPr="00557367" w:rsidRDefault="00F10CBD" w:rsidP="00813421">
            <w:pPr>
              <w:spacing w:line="240" w:lineRule="auto"/>
              <w:ind w:firstLine="0"/>
              <w:rPr>
                <w:color w:val="000000"/>
                <w:sz w:val="22"/>
                <w:szCs w:val="22"/>
              </w:rPr>
            </w:pPr>
          </w:p>
        </w:tc>
        <w:tc>
          <w:tcPr>
            <w:tcW w:w="1944" w:type="dxa"/>
            <w:tcBorders>
              <w:top w:val="nil"/>
              <w:left w:val="nil"/>
              <w:bottom w:val="nil"/>
              <w:right w:val="nil"/>
            </w:tcBorders>
            <w:shd w:val="clear" w:color="auto" w:fill="auto"/>
            <w:noWrap/>
            <w:vAlign w:val="center"/>
          </w:tcPr>
          <w:p w14:paraId="08E44527" w14:textId="77777777" w:rsidR="00F10CBD" w:rsidRPr="00557367" w:rsidRDefault="00F10CBD" w:rsidP="00813421">
            <w:pPr>
              <w:spacing w:line="240" w:lineRule="auto"/>
              <w:ind w:firstLine="0"/>
              <w:rPr>
                <w:color w:val="000000"/>
                <w:sz w:val="22"/>
                <w:szCs w:val="22"/>
              </w:rPr>
            </w:pPr>
          </w:p>
        </w:tc>
        <w:tc>
          <w:tcPr>
            <w:tcW w:w="1945" w:type="dxa"/>
            <w:tcBorders>
              <w:top w:val="nil"/>
              <w:left w:val="nil"/>
              <w:bottom w:val="nil"/>
              <w:right w:val="nil"/>
            </w:tcBorders>
            <w:shd w:val="clear" w:color="auto" w:fill="auto"/>
            <w:noWrap/>
            <w:vAlign w:val="center"/>
          </w:tcPr>
          <w:p w14:paraId="08E44528" w14:textId="77777777" w:rsidR="00F10CBD" w:rsidRPr="00557367" w:rsidRDefault="00F10CBD" w:rsidP="00813421">
            <w:pPr>
              <w:spacing w:line="240" w:lineRule="auto"/>
              <w:ind w:firstLine="0"/>
              <w:rPr>
                <w:color w:val="000000"/>
                <w:sz w:val="22"/>
                <w:szCs w:val="22"/>
              </w:rPr>
            </w:pPr>
          </w:p>
        </w:tc>
      </w:tr>
      <w:tr w:rsidR="00F10CBD" w:rsidRPr="00557367" w14:paraId="08E4452E" w14:textId="77777777" w:rsidTr="00525543">
        <w:trPr>
          <w:trHeight w:val="302"/>
          <w:jc w:val="center"/>
        </w:trPr>
        <w:tc>
          <w:tcPr>
            <w:tcW w:w="2779" w:type="dxa"/>
            <w:noWrap/>
            <w:vAlign w:val="center"/>
          </w:tcPr>
          <w:p w14:paraId="08E4452A" w14:textId="77777777" w:rsidR="00F10CBD" w:rsidRPr="00557367" w:rsidRDefault="00F10CBD" w:rsidP="00813421">
            <w:pPr>
              <w:spacing w:line="240" w:lineRule="auto"/>
              <w:ind w:firstLine="0"/>
              <w:rPr>
                <w:b/>
                <w:color w:val="000000"/>
                <w:sz w:val="22"/>
                <w:szCs w:val="22"/>
                <w:lang w:eastAsia="pt-PT"/>
              </w:rPr>
            </w:pPr>
            <w:r w:rsidRPr="00557367">
              <w:rPr>
                <w:i/>
                <w:color w:val="000000"/>
                <w:sz w:val="22"/>
                <w:szCs w:val="22"/>
                <w:lang w:eastAsia="pt-PT"/>
              </w:rPr>
              <w:t>Individual level</w:t>
            </w:r>
          </w:p>
        </w:tc>
        <w:tc>
          <w:tcPr>
            <w:tcW w:w="1944" w:type="dxa"/>
            <w:tcBorders>
              <w:top w:val="nil"/>
              <w:left w:val="nil"/>
              <w:bottom w:val="nil"/>
              <w:right w:val="nil"/>
            </w:tcBorders>
            <w:shd w:val="clear" w:color="auto" w:fill="auto"/>
            <w:noWrap/>
            <w:vAlign w:val="center"/>
          </w:tcPr>
          <w:p w14:paraId="08E4452B" w14:textId="77777777" w:rsidR="00F10CBD" w:rsidRPr="00557367" w:rsidRDefault="00F10CBD" w:rsidP="00813421">
            <w:pPr>
              <w:spacing w:line="240" w:lineRule="auto"/>
              <w:ind w:firstLine="0"/>
              <w:rPr>
                <w:color w:val="000000"/>
                <w:sz w:val="22"/>
                <w:szCs w:val="22"/>
              </w:rPr>
            </w:pPr>
          </w:p>
        </w:tc>
        <w:tc>
          <w:tcPr>
            <w:tcW w:w="1944" w:type="dxa"/>
            <w:tcBorders>
              <w:top w:val="nil"/>
              <w:left w:val="nil"/>
              <w:bottom w:val="nil"/>
              <w:right w:val="nil"/>
            </w:tcBorders>
            <w:shd w:val="clear" w:color="auto" w:fill="auto"/>
            <w:noWrap/>
            <w:vAlign w:val="center"/>
          </w:tcPr>
          <w:p w14:paraId="08E4452C" w14:textId="77777777" w:rsidR="00F10CBD" w:rsidRPr="00557367" w:rsidRDefault="00F10CBD" w:rsidP="00813421">
            <w:pPr>
              <w:spacing w:line="240" w:lineRule="auto"/>
              <w:ind w:firstLine="0"/>
              <w:rPr>
                <w:color w:val="000000"/>
                <w:sz w:val="22"/>
                <w:szCs w:val="22"/>
              </w:rPr>
            </w:pPr>
          </w:p>
        </w:tc>
        <w:tc>
          <w:tcPr>
            <w:tcW w:w="1945" w:type="dxa"/>
            <w:tcBorders>
              <w:top w:val="nil"/>
              <w:left w:val="nil"/>
              <w:bottom w:val="nil"/>
              <w:right w:val="nil"/>
            </w:tcBorders>
            <w:shd w:val="clear" w:color="auto" w:fill="auto"/>
            <w:noWrap/>
            <w:vAlign w:val="center"/>
          </w:tcPr>
          <w:p w14:paraId="08E4452D" w14:textId="77777777" w:rsidR="00F10CBD" w:rsidRPr="00557367" w:rsidRDefault="00F10CBD" w:rsidP="00813421">
            <w:pPr>
              <w:spacing w:line="240" w:lineRule="auto"/>
              <w:ind w:firstLine="0"/>
              <w:rPr>
                <w:color w:val="000000"/>
                <w:sz w:val="22"/>
                <w:szCs w:val="22"/>
              </w:rPr>
            </w:pPr>
          </w:p>
        </w:tc>
      </w:tr>
      <w:tr w:rsidR="00680B6E" w:rsidRPr="00557367" w14:paraId="08E44533" w14:textId="77777777" w:rsidTr="00525543">
        <w:trPr>
          <w:trHeight w:val="302"/>
          <w:jc w:val="center"/>
        </w:trPr>
        <w:tc>
          <w:tcPr>
            <w:tcW w:w="2779" w:type="dxa"/>
            <w:noWrap/>
            <w:vAlign w:val="center"/>
            <w:hideMark/>
          </w:tcPr>
          <w:p w14:paraId="08E4452F" w14:textId="77777777" w:rsidR="00680B6E" w:rsidRPr="00557367" w:rsidRDefault="00680B6E" w:rsidP="00813421">
            <w:pPr>
              <w:spacing w:line="240" w:lineRule="auto"/>
              <w:ind w:firstLine="0"/>
              <w:rPr>
                <w:color w:val="000000"/>
                <w:sz w:val="22"/>
                <w:szCs w:val="22"/>
                <w:lang w:eastAsia="pt-PT"/>
              </w:rPr>
            </w:pPr>
            <w:r w:rsidRPr="00557367">
              <w:rPr>
                <w:color w:val="000000"/>
                <w:sz w:val="22"/>
                <w:szCs w:val="22"/>
                <w:lang w:eastAsia="pt-PT"/>
              </w:rPr>
              <w:t>Female</w:t>
            </w:r>
          </w:p>
        </w:tc>
        <w:tc>
          <w:tcPr>
            <w:tcW w:w="1944" w:type="dxa"/>
            <w:tcBorders>
              <w:top w:val="nil"/>
              <w:left w:val="nil"/>
              <w:bottom w:val="nil"/>
              <w:right w:val="nil"/>
            </w:tcBorders>
            <w:shd w:val="clear" w:color="auto" w:fill="auto"/>
            <w:noWrap/>
            <w:vAlign w:val="center"/>
          </w:tcPr>
          <w:p w14:paraId="08E44530" w14:textId="424D55A8"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1.56 (1.49, </w:t>
            </w:r>
            <w:proofErr w:type="gramStart"/>
            <w:r w:rsidRPr="00557367">
              <w:rPr>
                <w:sz w:val="22"/>
                <w:szCs w:val="22"/>
                <w:lang w:eastAsia="en-US"/>
              </w:rPr>
              <w:t>1.63)</w:t>
            </w:r>
            <w:r w:rsidRPr="00557367">
              <w:rPr>
                <w:sz w:val="22"/>
                <w:szCs w:val="22"/>
                <w:vertAlign w:val="superscript"/>
                <w:lang w:eastAsia="en-US"/>
              </w:rPr>
              <w:t>*</w:t>
            </w:r>
            <w:proofErr w:type="gramEnd"/>
          </w:p>
        </w:tc>
        <w:tc>
          <w:tcPr>
            <w:tcW w:w="1944" w:type="dxa"/>
            <w:tcBorders>
              <w:top w:val="nil"/>
              <w:left w:val="nil"/>
              <w:bottom w:val="nil"/>
              <w:right w:val="nil"/>
            </w:tcBorders>
            <w:shd w:val="clear" w:color="auto" w:fill="auto"/>
            <w:noWrap/>
            <w:vAlign w:val="center"/>
          </w:tcPr>
          <w:p w14:paraId="08E44531" w14:textId="30830EDB"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0.86 (0.79, </w:t>
            </w:r>
            <w:proofErr w:type="gramStart"/>
            <w:r w:rsidRPr="00557367">
              <w:rPr>
                <w:sz w:val="22"/>
                <w:szCs w:val="22"/>
                <w:lang w:eastAsia="en-US"/>
              </w:rPr>
              <w:t>0.94)</w:t>
            </w:r>
            <w:r w:rsidRPr="00557367">
              <w:rPr>
                <w:sz w:val="22"/>
                <w:szCs w:val="22"/>
                <w:vertAlign w:val="superscript"/>
                <w:lang w:eastAsia="en-US"/>
              </w:rPr>
              <w:t>*</w:t>
            </w:r>
            <w:proofErr w:type="gramEnd"/>
          </w:p>
        </w:tc>
        <w:tc>
          <w:tcPr>
            <w:tcW w:w="1945" w:type="dxa"/>
            <w:tcBorders>
              <w:top w:val="nil"/>
              <w:left w:val="nil"/>
              <w:bottom w:val="nil"/>
              <w:right w:val="nil"/>
            </w:tcBorders>
            <w:shd w:val="clear" w:color="auto" w:fill="auto"/>
            <w:noWrap/>
            <w:vAlign w:val="center"/>
          </w:tcPr>
          <w:p w14:paraId="08E44532" w14:textId="08A821E4"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1.19 (1.12, </w:t>
            </w:r>
            <w:proofErr w:type="gramStart"/>
            <w:r w:rsidRPr="00557367">
              <w:rPr>
                <w:sz w:val="22"/>
                <w:szCs w:val="22"/>
                <w:lang w:eastAsia="en-US"/>
              </w:rPr>
              <w:t>1.26)</w:t>
            </w:r>
            <w:r w:rsidRPr="00557367">
              <w:rPr>
                <w:sz w:val="22"/>
                <w:szCs w:val="22"/>
                <w:vertAlign w:val="superscript"/>
                <w:lang w:eastAsia="en-US"/>
              </w:rPr>
              <w:t>*</w:t>
            </w:r>
            <w:proofErr w:type="gramEnd"/>
          </w:p>
        </w:tc>
      </w:tr>
      <w:tr w:rsidR="00F10CBD" w:rsidRPr="00557367" w14:paraId="08E44538" w14:textId="77777777" w:rsidTr="00525543">
        <w:trPr>
          <w:trHeight w:val="302"/>
          <w:jc w:val="center"/>
        </w:trPr>
        <w:tc>
          <w:tcPr>
            <w:tcW w:w="2779" w:type="dxa"/>
            <w:noWrap/>
            <w:vAlign w:val="center"/>
          </w:tcPr>
          <w:p w14:paraId="08E44534" w14:textId="714F4AA6" w:rsidR="00F10CBD" w:rsidRPr="00557367" w:rsidRDefault="00F10CBD" w:rsidP="00813421">
            <w:pPr>
              <w:spacing w:line="240" w:lineRule="auto"/>
              <w:ind w:firstLine="0"/>
              <w:rPr>
                <w:color w:val="000000"/>
                <w:sz w:val="22"/>
                <w:szCs w:val="22"/>
                <w:lang w:eastAsia="pt-PT"/>
              </w:rPr>
            </w:pPr>
            <w:r w:rsidRPr="00557367">
              <w:rPr>
                <w:color w:val="000000"/>
                <w:sz w:val="22"/>
                <w:szCs w:val="22"/>
                <w:lang w:eastAsia="pt-PT"/>
              </w:rPr>
              <w:t>Age group (</w:t>
            </w:r>
            <w:r w:rsidR="00852D60" w:rsidRPr="00557367">
              <w:rPr>
                <w:color w:val="000000"/>
                <w:sz w:val="22"/>
                <w:szCs w:val="22"/>
                <w:lang w:eastAsia="pt-PT"/>
              </w:rPr>
              <w:t>ref</w:t>
            </w:r>
            <w:r w:rsidRPr="00557367">
              <w:rPr>
                <w:color w:val="000000"/>
                <w:sz w:val="22"/>
                <w:szCs w:val="22"/>
                <w:lang w:eastAsia="pt-PT"/>
              </w:rPr>
              <w:t>: 15-24)</w:t>
            </w:r>
          </w:p>
        </w:tc>
        <w:tc>
          <w:tcPr>
            <w:tcW w:w="1944" w:type="dxa"/>
            <w:tcBorders>
              <w:top w:val="nil"/>
              <w:left w:val="nil"/>
              <w:bottom w:val="nil"/>
              <w:right w:val="nil"/>
            </w:tcBorders>
            <w:shd w:val="clear" w:color="auto" w:fill="auto"/>
            <w:noWrap/>
            <w:vAlign w:val="center"/>
          </w:tcPr>
          <w:p w14:paraId="08E44535" w14:textId="77777777" w:rsidR="00F10CBD" w:rsidRPr="00557367" w:rsidRDefault="00F10CBD" w:rsidP="00813421">
            <w:pPr>
              <w:spacing w:line="240" w:lineRule="auto"/>
              <w:ind w:firstLine="0"/>
              <w:rPr>
                <w:color w:val="000000"/>
                <w:sz w:val="22"/>
                <w:szCs w:val="22"/>
                <w:lang w:eastAsia="pt-PT"/>
              </w:rPr>
            </w:pPr>
          </w:p>
        </w:tc>
        <w:tc>
          <w:tcPr>
            <w:tcW w:w="1944" w:type="dxa"/>
            <w:tcBorders>
              <w:top w:val="nil"/>
              <w:left w:val="nil"/>
              <w:bottom w:val="nil"/>
              <w:right w:val="nil"/>
            </w:tcBorders>
            <w:shd w:val="clear" w:color="auto" w:fill="auto"/>
            <w:noWrap/>
            <w:vAlign w:val="center"/>
          </w:tcPr>
          <w:p w14:paraId="08E44536" w14:textId="77777777" w:rsidR="00F10CBD" w:rsidRPr="00557367" w:rsidRDefault="00F10CBD" w:rsidP="00813421">
            <w:pPr>
              <w:spacing w:line="240" w:lineRule="auto"/>
              <w:ind w:firstLine="0"/>
              <w:rPr>
                <w:color w:val="000000"/>
                <w:sz w:val="22"/>
                <w:szCs w:val="22"/>
                <w:lang w:eastAsia="pt-PT"/>
              </w:rPr>
            </w:pPr>
          </w:p>
        </w:tc>
        <w:tc>
          <w:tcPr>
            <w:tcW w:w="1945" w:type="dxa"/>
            <w:tcBorders>
              <w:top w:val="nil"/>
              <w:left w:val="nil"/>
              <w:bottom w:val="nil"/>
              <w:right w:val="nil"/>
            </w:tcBorders>
            <w:shd w:val="clear" w:color="auto" w:fill="auto"/>
            <w:noWrap/>
            <w:vAlign w:val="center"/>
          </w:tcPr>
          <w:p w14:paraId="08E44537" w14:textId="77777777" w:rsidR="00F10CBD" w:rsidRPr="00557367" w:rsidRDefault="00F10CBD" w:rsidP="00813421">
            <w:pPr>
              <w:spacing w:line="240" w:lineRule="auto"/>
              <w:ind w:firstLine="0"/>
              <w:rPr>
                <w:color w:val="000000"/>
                <w:sz w:val="22"/>
                <w:szCs w:val="22"/>
                <w:lang w:eastAsia="pt-PT"/>
              </w:rPr>
            </w:pPr>
          </w:p>
        </w:tc>
      </w:tr>
      <w:tr w:rsidR="00680B6E" w:rsidRPr="00557367" w14:paraId="08E4453D" w14:textId="77777777" w:rsidTr="00525543">
        <w:trPr>
          <w:trHeight w:val="302"/>
          <w:jc w:val="center"/>
        </w:trPr>
        <w:tc>
          <w:tcPr>
            <w:tcW w:w="2779" w:type="dxa"/>
            <w:noWrap/>
            <w:vAlign w:val="center"/>
            <w:hideMark/>
          </w:tcPr>
          <w:p w14:paraId="08E44539" w14:textId="77777777" w:rsidR="00680B6E" w:rsidRPr="00557367" w:rsidRDefault="00680B6E" w:rsidP="00813421">
            <w:pPr>
              <w:spacing w:line="240" w:lineRule="auto"/>
              <w:ind w:left="318" w:firstLine="0"/>
              <w:rPr>
                <w:color w:val="000000"/>
                <w:sz w:val="22"/>
                <w:szCs w:val="22"/>
                <w:lang w:eastAsia="pt-PT"/>
              </w:rPr>
            </w:pPr>
            <w:r w:rsidRPr="00557367">
              <w:rPr>
                <w:color w:val="000000"/>
                <w:sz w:val="22"/>
                <w:szCs w:val="22"/>
                <w:lang w:eastAsia="pt-PT"/>
              </w:rPr>
              <w:t>25-34 years</w:t>
            </w:r>
          </w:p>
        </w:tc>
        <w:tc>
          <w:tcPr>
            <w:tcW w:w="1944" w:type="dxa"/>
            <w:tcBorders>
              <w:top w:val="nil"/>
              <w:left w:val="nil"/>
              <w:bottom w:val="nil"/>
              <w:right w:val="nil"/>
            </w:tcBorders>
            <w:shd w:val="clear" w:color="auto" w:fill="auto"/>
            <w:noWrap/>
            <w:vAlign w:val="center"/>
          </w:tcPr>
          <w:p w14:paraId="08E4453A" w14:textId="61A5900D"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0.63 (0.51, </w:t>
            </w:r>
            <w:proofErr w:type="gramStart"/>
            <w:r w:rsidRPr="00557367">
              <w:rPr>
                <w:sz w:val="22"/>
                <w:szCs w:val="22"/>
                <w:lang w:eastAsia="en-US"/>
              </w:rPr>
              <w:t>0.76)</w:t>
            </w:r>
            <w:r w:rsidRPr="00557367">
              <w:rPr>
                <w:sz w:val="22"/>
                <w:szCs w:val="22"/>
                <w:vertAlign w:val="superscript"/>
                <w:lang w:eastAsia="en-US"/>
              </w:rPr>
              <w:t>*</w:t>
            </w:r>
            <w:proofErr w:type="gramEnd"/>
          </w:p>
        </w:tc>
        <w:tc>
          <w:tcPr>
            <w:tcW w:w="1944" w:type="dxa"/>
            <w:tcBorders>
              <w:top w:val="nil"/>
              <w:left w:val="nil"/>
              <w:bottom w:val="nil"/>
              <w:right w:val="nil"/>
            </w:tcBorders>
            <w:shd w:val="clear" w:color="auto" w:fill="auto"/>
            <w:noWrap/>
            <w:vAlign w:val="center"/>
          </w:tcPr>
          <w:p w14:paraId="08E4453B" w14:textId="786BF9B2"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0.69 (0.54, </w:t>
            </w:r>
            <w:proofErr w:type="gramStart"/>
            <w:r w:rsidRPr="00557367">
              <w:rPr>
                <w:sz w:val="22"/>
                <w:szCs w:val="22"/>
                <w:lang w:eastAsia="en-US"/>
              </w:rPr>
              <w:t>0.83)</w:t>
            </w:r>
            <w:r w:rsidRPr="00557367">
              <w:rPr>
                <w:sz w:val="22"/>
                <w:szCs w:val="22"/>
                <w:vertAlign w:val="superscript"/>
                <w:lang w:eastAsia="en-US"/>
              </w:rPr>
              <w:t>*</w:t>
            </w:r>
            <w:proofErr w:type="gramEnd"/>
          </w:p>
        </w:tc>
        <w:tc>
          <w:tcPr>
            <w:tcW w:w="1945" w:type="dxa"/>
            <w:tcBorders>
              <w:top w:val="nil"/>
              <w:left w:val="nil"/>
              <w:bottom w:val="nil"/>
              <w:right w:val="nil"/>
            </w:tcBorders>
            <w:shd w:val="clear" w:color="auto" w:fill="auto"/>
            <w:noWrap/>
            <w:vAlign w:val="center"/>
          </w:tcPr>
          <w:p w14:paraId="08E4453C" w14:textId="64CCA9A3"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0.79 (0.65, </w:t>
            </w:r>
            <w:proofErr w:type="gramStart"/>
            <w:r w:rsidRPr="00557367">
              <w:rPr>
                <w:sz w:val="22"/>
                <w:szCs w:val="22"/>
                <w:lang w:eastAsia="en-US"/>
              </w:rPr>
              <w:t>0.93)</w:t>
            </w:r>
            <w:r w:rsidRPr="00557367">
              <w:rPr>
                <w:sz w:val="22"/>
                <w:szCs w:val="22"/>
                <w:vertAlign w:val="superscript"/>
                <w:lang w:eastAsia="en-US"/>
              </w:rPr>
              <w:t>*</w:t>
            </w:r>
            <w:proofErr w:type="gramEnd"/>
          </w:p>
        </w:tc>
      </w:tr>
      <w:tr w:rsidR="00680B6E" w:rsidRPr="00557367" w14:paraId="08E44542" w14:textId="77777777" w:rsidTr="00525543">
        <w:trPr>
          <w:trHeight w:val="302"/>
          <w:jc w:val="center"/>
        </w:trPr>
        <w:tc>
          <w:tcPr>
            <w:tcW w:w="2779" w:type="dxa"/>
            <w:noWrap/>
            <w:vAlign w:val="center"/>
            <w:hideMark/>
          </w:tcPr>
          <w:p w14:paraId="08E4453E" w14:textId="77777777" w:rsidR="00680B6E" w:rsidRPr="00557367" w:rsidRDefault="00680B6E" w:rsidP="00813421">
            <w:pPr>
              <w:spacing w:line="240" w:lineRule="auto"/>
              <w:ind w:left="318" w:firstLine="0"/>
              <w:rPr>
                <w:color w:val="000000"/>
                <w:sz w:val="22"/>
                <w:szCs w:val="22"/>
                <w:lang w:eastAsia="pt-PT"/>
              </w:rPr>
            </w:pPr>
            <w:r w:rsidRPr="00557367">
              <w:rPr>
                <w:color w:val="000000"/>
                <w:sz w:val="22"/>
                <w:szCs w:val="22"/>
                <w:lang w:eastAsia="pt-PT"/>
              </w:rPr>
              <w:t>35-44 years</w:t>
            </w:r>
          </w:p>
        </w:tc>
        <w:tc>
          <w:tcPr>
            <w:tcW w:w="1944" w:type="dxa"/>
            <w:tcBorders>
              <w:top w:val="nil"/>
              <w:left w:val="nil"/>
              <w:bottom w:val="nil"/>
              <w:right w:val="nil"/>
            </w:tcBorders>
            <w:shd w:val="clear" w:color="auto" w:fill="auto"/>
            <w:noWrap/>
            <w:vAlign w:val="center"/>
          </w:tcPr>
          <w:p w14:paraId="08E4453F" w14:textId="5850DBF3"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0.46 (0.33, </w:t>
            </w:r>
            <w:proofErr w:type="gramStart"/>
            <w:r w:rsidRPr="00557367">
              <w:rPr>
                <w:sz w:val="22"/>
                <w:szCs w:val="22"/>
                <w:lang w:eastAsia="en-US"/>
              </w:rPr>
              <w:t>0.58)</w:t>
            </w:r>
            <w:r w:rsidRPr="00557367">
              <w:rPr>
                <w:sz w:val="22"/>
                <w:szCs w:val="22"/>
                <w:vertAlign w:val="superscript"/>
                <w:lang w:eastAsia="en-US"/>
              </w:rPr>
              <w:t>*</w:t>
            </w:r>
            <w:proofErr w:type="gramEnd"/>
          </w:p>
        </w:tc>
        <w:tc>
          <w:tcPr>
            <w:tcW w:w="1944" w:type="dxa"/>
            <w:tcBorders>
              <w:top w:val="nil"/>
              <w:left w:val="nil"/>
              <w:bottom w:val="nil"/>
              <w:right w:val="nil"/>
            </w:tcBorders>
            <w:shd w:val="clear" w:color="auto" w:fill="auto"/>
            <w:noWrap/>
            <w:vAlign w:val="center"/>
          </w:tcPr>
          <w:p w14:paraId="08E44540" w14:textId="3CB53AFD"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0.66 (0.51, </w:t>
            </w:r>
            <w:proofErr w:type="gramStart"/>
            <w:r w:rsidRPr="00557367">
              <w:rPr>
                <w:sz w:val="22"/>
                <w:szCs w:val="22"/>
                <w:lang w:eastAsia="en-US"/>
              </w:rPr>
              <w:t>0.80)</w:t>
            </w:r>
            <w:r w:rsidRPr="00557367">
              <w:rPr>
                <w:sz w:val="22"/>
                <w:szCs w:val="22"/>
                <w:vertAlign w:val="superscript"/>
                <w:lang w:eastAsia="en-US"/>
              </w:rPr>
              <w:t>*</w:t>
            </w:r>
            <w:proofErr w:type="gramEnd"/>
          </w:p>
        </w:tc>
        <w:tc>
          <w:tcPr>
            <w:tcW w:w="1945" w:type="dxa"/>
            <w:tcBorders>
              <w:top w:val="nil"/>
              <w:left w:val="nil"/>
              <w:bottom w:val="nil"/>
              <w:right w:val="nil"/>
            </w:tcBorders>
            <w:shd w:val="clear" w:color="auto" w:fill="auto"/>
            <w:noWrap/>
            <w:vAlign w:val="center"/>
          </w:tcPr>
          <w:p w14:paraId="08E44541" w14:textId="431607FF"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0.74 (0.60, </w:t>
            </w:r>
            <w:proofErr w:type="gramStart"/>
            <w:r w:rsidRPr="00557367">
              <w:rPr>
                <w:sz w:val="22"/>
                <w:szCs w:val="22"/>
                <w:lang w:eastAsia="en-US"/>
              </w:rPr>
              <w:t>0.88)</w:t>
            </w:r>
            <w:r w:rsidRPr="00557367">
              <w:rPr>
                <w:sz w:val="22"/>
                <w:szCs w:val="22"/>
                <w:vertAlign w:val="superscript"/>
                <w:lang w:eastAsia="en-US"/>
              </w:rPr>
              <w:t>*</w:t>
            </w:r>
            <w:proofErr w:type="gramEnd"/>
          </w:p>
        </w:tc>
      </w:tr>
      <w:tr w:rsidR="00680B6E" w:rsidRPr="00557367" w14:paraId="08E44547" w14:textId="77777777" w:rsidTr="00525543">
        <w:trPr>
          <w:trHeight w:val="302"/>
          <w:jc w:val="center"/>
        </w:trPr>
        <w:tc>
          <w:tcPr>
            <w:tcW w:w="2779" w:type="dxa"/>
            <w:noWrap/>
            <w:vAlign w:val="center"/>
            <w:hideMark/>
          </w:tcPr>
          <w:p w14:paraId="08E44543" w14:textId="77777777" w:rsidR="00680B6E" w:rsidRPr="00557367" w:rsidRDefault="00680B6E" w:rsidP="00813421">
            <w:pPr>
              <w:spacing w:line="240" w:lineRule="auto"/>
              <w:ind w:left="318" w:firstLine="0"/>
              <w:rPr>
                <w:color w:val="000000"/>
                <w:sz w:val="22"/>
                <w:szCs w:val="22"/>
                <w:lang w:eastAsia="pt-PT"/>
              </w:rPr>
            </w:pPr>
            <w:r w:rsidRPr="00557367">
              <w:rPr>
                <w:color w:val="000000"/>
                <w:sz w:val="22"/>
                <w:szCs w:val="22"/>
                <w:lang w:eastAsia="pt-PT"/>
              </w:rPr>
              <w:t>45-54 years</w:t>
            </w:r>
          </w:p>
        </w:tc>
        <w:tc>
          <w:tcPr>
            <w:tcW w:w="1944" w:type="dxa"/>
            <w:tcBorders>
              <w:top w:val="nil"/>
              <w:left w:val="nil"/>
              <w:bottom w:val="nil"/>
              <w:right w:val="nil"/>
            </w:tcBorders>
            <w:shd w:val="clear" w:color="auto" w:fill="auto"/>
            <w:noWrap/>
            <w:vAlign w:val="center"/>
          </w:tcPr>
          <w:p w14:paraId="08E44544" w14:textId="3B7F321A"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0.38 (0.25, </w:t>
            </w:r>
            <w:proofErr w:type="gramStart"/>
            <w:r w:rsidRPr="00557367">
              <w:rPr>
                <w:sz w:val="22"/>
                <w:szCs w:val="22"/>
                <w:lang w:eastAsia="en-US"/>
              </w:rPr>
              <w:t>0.51)</w:t>
            </w:r>
            <w:r w:rsidRPr="00557367">
              <w:rPr>
                <w:sz w:val="22"/>
                <w:szCs w:val="22"/>
                <w:vertAlign w:val="superscript"/>
                <w:lang w:eastAsia="en-US"/>
              </w:rPr>
              <w:t>*</w:t>
            </w:r>
            <w:proofErr w:type="gramEnd"/>
          </w:p>
        </w:tc>
        <w:tc>
          <w:tcPr>
            <w:tcW w:w="1944" w:type="dxa"/>
            <w:tcBorders>
              <w:top w:val="nil"/>
              <w:left w:val="nil"/>
              <w:bottom w:val="nil"/>
              <w:right w:val="nil"/>
            </w:tcBorders>
            <w:shd w:val="clear" w:color="auto" w:fill="auto"/>
            <w:noWrap/>
            <w:vAlign w:val="center"/>
          </w:tcPr>
          <w:p w14:paraId="08E44545" w14:textId="592A08DF"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0.64 (0.50, </w:t>
            </w:r>
            <w:proofErr w:type="gramStart"/>
            <w:r w:rsidRPr="00557367">
              <w:rPr>
                <w:sz w:val="22"/>
                <w:szCs w:val="22"/>
                <w:lang w:eastAsia="en-US"/>
              </w:rPr>
              <w:t>0.79)</w:t>
            </w:r>
            <w:r w:rsidRPr="00557367">
              <w:rPr>
                <w:sz w:val="22"/>
                <w:szCs w:val="22"/>
                <w:vertAlign w:val="superscript"/>
                <w:lang w:eastAsia="en-US"/>
              </w:rPr>
              <w:t>*</w:t>
            </w:r>
            <w:proofErr w:type="gramEnd"/>
          </w:p>
        </w:tc>
        <w:tc>
          <w:tcPr>
            <w:tcW w:w="1945" w:type="dxa"/>
            <w:tcBorders>
              <w:top w:val="nil"/>
              <w:left w:val="nil"/>
              <w:bottom w:val="nil"/>
              <w:right w:val="nil"/>
            </w:tcBorders>
            <w:shd w:val="clear" w:color="auto" w:fill="auto"/>
            <w:noWrap/>
            <w:vAlign w:val="center"/>
          </w:tcPr>
          <w:p w14:paraId="08E44546" w14:textId="5D32BF63"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0.70 (0.56, </w:t>
            </w:r>
            <w:proofErr w:type="gramStart"/>
            <w:r w:rsidRPr="00557367">
              <w:rPr>
                <w:sz w:val="22"/>
                <w:szCs w:val="22"/>
                <w:lang w:eastAsia="en-US"/>
              </w:rPr>
              <w:t>0.83)</w:t>
            </w:r>
            <w:r w:rsidRPr="00557367">
              <w:rPr>
                <w:sz w:val="22"/>
                <w:szCs w:val="22"/>
                <w:vertAlign w:val="superscript"/>
                <w:lang w:eastAsia="en-US"/>
              </w:rPr>
              <w:t>*</w:t>
            </w:r>
            <w:proofErr w:type="gramEnd"/>
          </w:p>
        </w:tc>
      </w:tr>
      <w:tr w:rsidR="00680B6E" w:rsidRPr="00557367" w14:paraId="08E4454C" w14:textId="77777777" w:rsidTr="00525543">
        <w:trPr>
          <w:trHeight w:val="302"/>
          <w:jc w:val="center"/>
        </w:trPr>
        <w:tc>
          <w:tcPr>
            <w:tcW w:w="2779" w:type="dxa"/>
            <w:noWrap/>
            <w:vAlign w:val="center"/>
            <w:hideMark/>
          </w:tcPr>
          <w:p w14:paraId="08E44548" w14:textId="77777777" w:rsidR="00680B6E" w:rsidRPr="00557367" w:rsidRDefault="00680B6E" w:rsidP="00813421">
            <w:pPr>
              <w:spacing w:line="240" w:lineRule="auto"/>
              <w:ind w:left="318" w:firstLine="0"/>
              <w:rPr>
                <w:color w:val="000000"/>
                <w:sz w:val="22"/>
                <w:szCs w:val="22"/>
                <w:lang w:eastAsia="pt-PT"/>
              </w:rPr>
            </w:pPr>
            <w:r w:rsidRPr="00557367">
              <w:rPr>
                <w:color w:val="000000"/>
                <w:sz w:val="22"/>
                <w:szCs w:val="22"/>
                <w:lang w:eastAsia="pt-PT"/>
              </w:rPr>
              <w:t>55-64 years</w:t>
            </w:r>
          </w:p>
        </w:tc>
        <w:tc>
          <w:tcPr>
            <w:tcW w:w="1944" w:type="dxa"/>
            <w:tcBorders>
              <w:top w:val="nil"/>
              <w:left w:val="nil"/>
              <w:bottom w:val="nil"/>
              <w:right w:val="nil"/>
            </w:tcBorders>
            <w:shd w:val="clear" w:color="auto" w:fill="auto"/>
            <w:noWrap/>
            <w:vAlign w:val="center"/>
          </w:tcPr>
          <w:p w14:paraId="08E44549" w14:textId="39CF23CE"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0.31 (0.18, </w:t>
            </w:r>
            <w:proofErr w:type="gramStart"/>
            <w:r w:rsidRPr="00557367">
              <w:rPr>
                <w:sz w:val="22"/>
                <w:szCs w:val="22"/>
                <w:lang w:eastAsia="en-US"/>
              </w:rPr>
              <w:t>0.43)</w:t>
            </w:r>
            <w:r w:rsidRPr="00557367">
              <w:rPr>
                <w:sz w:val="22"/>
                <w:szCs w:val="22"/>
                <w:vertAlign w:val="superscript"/>
                <w:lang w:eastAsia="en-US"/>
              </w:rPr>
              <w:t>*</w:t>
            </w:r>
            <w:proofErr w:type="gramEnd"/>
          </w:p>
        </w:tc>
        <w:tc>
          <w:tcPr>
            <w:tcW w:w="1944" w:type="dxa"/>
            <w:tcBorders>
              <w:top w:val="nil"/>
              <w:left w:val="nil"/>
              <w:bottom w:val="nil"/>
              <w:right w:val="nil"/>
            </w:tcBorders>
            <w:shd w:val="clear" w:color="auto" w:fill="auto"/>
            <w:noWrap/>
            <w:vAlign w:val="center"/>
          </w:tcPr>
          <w:p w14:paraId="08E4454A" w14:textId="623CEF43"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0.58 (0.44, </w:t>
            </w:r>
            <w:proofErr w:type="gramStart"/>
            <w:r w:rsidRPr="00557367">
              <w:rPr>
                <w:sz w:val="22"/>
                <w:szCs w:val="22"/>
                <w:lang w:eastAsia="en-US"/>
              </w:rPr>
              <w:t>0.72)</w:t>
            </w:r>
            <w:r w:rsidRPr="00557367">
              <w:rPr>
                <w:sz w:val="22"/>
                <w:szCs w:val="22"/>
                <w:vertAlign w:val="superscript"/>
                <w:lang w:eastAsia="en-US"/>
              </w:rPr>
              <w:t>*</w:t>
            </w:r>
            <w:proofErr w:type="gramEnd"/>
          </w:p>
        </w:tc>
        <w:tc>
          <w:tcPr>
            <w:tcW w:w="1945" w:type="dxa"/>
            <w:tcBorders>
              <w:top w:val="nil"/>
              <w:left w:val="nil"/>
              <w:bottom w:val="nil"/>
              <w:right w:val="nil"/>
            </w:tcBorders>
            <w:shd w:val="clear" w:color="auto" w:fill="auto"/>
            <w:noWrap/>
            <w:vAlign w:val="center"/>
          </w:tcPr>
          <w:p w14:paraId="08E4454B" w14:textId="4B868358"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0.67 (0.54, </w:t>
            </w:r>
            <w:proofErr w:type="gramStart"/>
            <w:r w:rsidRPr="00557367">
              <w:rPr>
                <w:sz w:val="22"/>
                <w:szCs w:val="22"/>
                <w:lang w:eastAsia="en-US"/>
              </w:rPr>
              <w:t>0.80)</w:t>
            </w:r>
            <w:r w:rsidRPr="00557367">
              <w:rPr>
                <w:sz w:val="22"/>
                <w:szCs w:val="22"/>
                <w:vertAlign w:val="superscript"/>
                <w:lang w:eastAsia="en-US"/>
              </w:rPr>
              <w:t>*</w:t>
            </w:r>
            <w:proofErr w:type="gramEnd"/>
          </w:p>
        </w:tc>
      </w:tr>
      <w:tr w:rsidR="00680B6E" w:rsidRPr="00557367" w14:paraId="08E44551" w14:textId="77777777" w:rsidTr="00525543">
        <w:trPr>
          <w:trHeight w:val="302"/>
          <w:jc w:val="center"/>
        </w:trPr>
        <w:tc>
          <w:tcPr>
            <w:tcW w:w="2779" w:type="dxa"/>
            <w:noWrap/>
            <w:vAlign w:val="center"/>
            <w:hideMark/>
          </w:tcPr>
          <w:p w14:paraId="08E4454D" w14:textId="77777777" w:rsidR="00680B6E" w:rsidRPr="00557367" w:rsidRDefault="00680B6E" w:rsidP="00813421">
            <w:pPr>
              <w:spacing w:line="240" w:lineRule="auto"/>
              <w:ind w:left="318" w:firstLine="0"/>
              <w:rPr>
                <w:color w:val="000000"/>
                <w:sz w:val="22"/>
                <w:szCs w:val="22"/>
                <w:lang w:eastAsia="pt-PT"/>
              </w:rPr>
            </w:pPr>
            <w:r w:rsidRPr="00557367">
              <w:rPr>
                <w:color w:val="000000"/>
                <w:sz w:val="22"/>
                <w:szCs w:val="22"/>
                <w:lang w:eastAsia="pt-PT"/>
              </w:rPr>
              <w:t>&gt;64 years</w:t>
            </w:r>
          </w:p>
        </w:tc>
        <w:tc>
          <w:tcPr>
            <w:tcW w:w="1944" w:type="dxa"/>
            <w:tcBorders>
              <w:top w:val="nil"/>
              <w:left w:val="nil"/>
              <w:bottom w:val="nil"/>
              <w:right w:val="nil"/>
            </w:tcBorders>
            <w:shd w:val="clear" w:color="auto" w:fill="auto"/>
            <w:noWrap/>
            <w:vAlign w:val="center"/>
          </w:tcPr>
          <w:p w14:paraId="08E4454E" w14:textId="27D547AF"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0.40 (0.28, </w:t>
            </w:r>
            <w:proofErr w:type="gramStart"/>
            <w:r w:rsidRPr="00557367">
              <w:rPr>
                <w:sz w:val="22"/>
                <w:szCs w:val="22"/>
                <w:lang w:eastAsia="en-US"/>
              </w:rPr>
              <w:t>0.52)</w:t>
            </w:r>
            <w:r w:rsidRPr="00557367">
              <w:rPr>
                <w:sz w:val="22"/>
                <w:szCs w:val="22"/>
                <w:vertAlign w:val="superscript"/>
                <w:lang w:eastAsia="en-US"/>
              </w:rPr>
              <w:t>*</w:t>
            </w:r>
            <w:proofErr w:type="gramEnd"/>
          </w:p>
        </w:tc>
        <w:tc>
          <w:tcPr>
            <w:tcW w:w="1944" w:type="dxa"/>
            <w:tcBorders>
              <w:top w:val="nil"/>
              <w:left w:val="nil"/>
              <w:bottom w:val="nil"/>
              <w:right w:val="nil"/>
            </w:tcBorders>
            <w:shd w:val="clear" w:color="auto" w:fill="auto"/>
            <w:noWrap/>
            <w:vAlign w:val="center"/>
          </w:tcPr>
          <w:p w14:paraId="08E4454F" w14:textId="79BB7449"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0.61 (0.47, </w:t>
            </w:r>
            <w:proofErr w:type="gramStart"/>
            <w:r w:rsidRPr="00557367">
              <w:rPr>
                <w:sz w:val="22"/>
                <w:szCs w:val="22"/>
                <w:lang w:eastAsia="en-US"/>
              </w:rPr>
              <w:t>0.74)</w:t>
            </w:r>
            <w:r w:rsidRPr="00557367">
              <w:rPr>
                <w:sz w:val="22"/>
                <w:szCs w:val="22"/>
                <w:vertAlign w:val="superscript"/>
                <w:lang w:eastAsia="en-US"/>
              </w:rPr>
              <w:t>*</w:t>
            </w:r>
            <w:proofErr w:type="gramEnd"/>
          </w:p>
        </w:tc>
        <w:tc>
          <w:tcPr>
            <w:tcW w:w="1945" w:type="dxa"/>
            <w:tcBorders>
              <w:top w:val="nil"/>
              <w:left w:val="nil"/>
              <w:bottom w:val="nil"/>
              <w:right w:val="nil"/>
            </w:tcBorders>
            <w:shd w:val="clear" w:color="auto" w:fill="auto"/>
            <w:noWrap/>
            <w:vAlign w:val="center"/>
          </w:tcPr>
          <w:p w14:paraId="08E44550" w14:textId="0172DB3E"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0.80 (0.67, </w:t>
            </w:r>
            <w:proofErr w:type="gramStart"/>
            <w:r w:rsidRPr="00557367">
              <w:rPr>
                <w:sz w:val="22"/>
                <w:szCs w:val="22"/>
                <w:lang w:eastAsia="en-US"/>
              </w:rPr>
              <w:t>0.93)</w:t>
            </w:r>
            <w:r w:rsidRPr="00557367">
              <w:rPr>
                <w:sz w:val="22"/>
                <w:szCs w:val="22"/>
                <w:vertAlign w:val="superscript"/>
                <w:lang w:eastAsia="en-US"/>
              </w:rPr>
              <w:t>*</w:t>
            </w:r>
            <w:proofErr w:type="gramEnd"/>
          </w:p>
        </w:tc>
      </w:tr>
      <w:tr w:rsidR="00F10CBD" w:rsidRPr="00557367" w14:paraId="08E44556" w14:textId="77777777" w:rsidTr="00525543">
        <w:trPr>
          <w:trHeight w:val="302"/>
          <w:jc w:val="center"/>
        </w:trPr>
        <w:tc>
          <w:tcPr>
            <w:tcW w:w="2779" w:type="dxa"/>
            <w:noWrap/>
            <w:vAlign w:val="center"/>
          </w:tcPr>
          <w:p w14:paraId="08E44552" w14:textId="7E945499" w:rsidR="00F10CBD" w:rsidRPr="00557367" w:rsidRDefault="00F10CBD" w:rsidP="00813421">
            <w:pPr>
              <w:spacing w:line="240" w:lineRule="auto"/>
              <w:ind w:firstLine="0"/>
              <w:rPr>
                <w:color w:val="000000"/>
                <w:sz w:val="22"/>
                <w:szCs w:val="22"/>
                <w:lang w:eastAsia="pt-PT"/>
              </w:rPr>
            </w:pPr>
            <w:r w:rsidRPr="00557367">
              <w:rPr>
                <w:color w:val="000000"/>
                <w:sz w:val="22"/>
                <w:szCs w:val="22"/>
                <w:lang w:eastAsia="pt-PT"/>
              </w:rPr>
              <w:t>Occupation (</w:t>
            </w:r>
            <w:r w:rsidR="00852D60" w:rsidRPr="00557367">
              <w:rPr>
                <w:color w:val="000000"/>
                <w:sz w:val="22"/>
                <w:szCs w:val="22"/>
                <w:lang w:eastAsia="pt-PT"/>
              </w:rPr>
              <w:t>ref</w:t>
            </w:r>
            <w:r w:rsidRPr="00557367">
              <w:rPr>
                <w:color w:val="000000"/>
                <w:sz w:val="22"/>
                <w:szCs w:val="22"/>
                <w:lang w:eastAsia="pt-PT"/>
              </w:rPr>
              <w:t xml:space="preserve">: </w:t>
            </w:r>
            <w:r w:rsidR="006B048C" w:rsidRPr="00557367">
              <w:rPr>
                <w:color w:val="000000"/>
                <w:sz w:val="22"/>
                <w:szCs w:val="22"/>
                <w:lang w:eastAsia="pt-PT"/>
              </w:rPr>
              <w:t>inactive</w:t>
            </w:r>
            <w:r w:rsidRPr="00557367">
              <w:rPr>
                <w:color w:val="000000"/>
                <w:sz w:val="22"/>
                <w:szCs w:val="22"/>
                <w:lang w:eastAsia="pt-PT"/>
              </w:rPr>
              <w:t xml:space="preserve">) </w:t>
            </w:r>
          </w:p>
        </w:tc>
        <w:tc>
          <w:tcPr>
            <w:tcW w:w="1944" w:type="dxa"/>
            <w:tcBorders>
              <w:top w:val="nil"/>
              <w:left w:val="nil"/>
              <w:bottom w:val="nil"/>
              <w:right w:val="nil"/>
            </w:tcBorders>
            <w:shd w:val="clear" w:color="auto" w:fill="auto"/>
            <w:noWrap/>
            <w:vAlign w:val="center"/>
          </w:tcPr>
          <w:p w14:paraId="08E44553" w14:textId="77777777" w:rsidR="00F10CBD" w:rsidRPr="00557367" w:rsidRDefault="00F10CBD" w:rsidP="00813421">
            <w:pPr>
              <w:spacing w:line="240" w:lineRule="auto"/>
              <w:ind w:firstLine="0"/>
              <w:rPr>
                <w:color w:val="000000"/>
                <w:sz w:val="22"/>
                <w:szCs w:val="22"/>
                <w:lang w:eastAsia="pt-PT"/>
              </w:rPr>
            </w:pPr>
          </w:p>
        </w:tc>
        <w:tc>
          <w:tcPr>
            <w:tcW w:w="1944" w:type="dxa"/>
            <w:tcBorders>
              <w:top w:val="nil"/>
              <w:left w:val="nil"/>
              <w:bottom w:val="nil"/>
              <w:right w:val="nil"/>
            </w:tcBorders>
            <w:shd w:val="clear" w:color="auto" w:fill="auto"/>
            <w:noWrap/>
            <w:vAlign w:val="center"/>
          </w:tcPr>
          <w:p w14:paraId="08E44554" w14:textId="77777777" w:rsidR="00F10CBD" w:rsidRPr="00557367" w:rsidRDefault="00F10CBD" w:rsidP="00813421">
            <w:pPr>
              <w:spacing w:line="240" w:lineRule="auto"/>
              <w:ind w:firstLine="0"/>
              <w:rPr>
                <w:color w:val="000000"/>
                <w:sz w:val="22"/>
                <w:szCs w:val="22"/>
                <w:lang w:eastAsia="pt-PT"/>
              </w:rPr>
            </w:pPr>
          </w:p>
        </w:tc>
        <w:tc>
          <w:tcPr>
            <w:tcW w:w="1945" w:type="dxa"/>
            <w:tcBorders>
              <w:top w:val="nil"/>
              <w:left w:val="nil"/>
              <w:bottom w:val="nil"/>
              <w:right w:val="nil"/>
            </w:tcBorders>
            <w:shd w:val="clear" w:color="auto" w:fill="auto"/>
            <w:noWrap/>
            <w:vAlign w:val="center"/>
          </w:tcPr>
          <w:p w14:paraId="08E44555" w14:textId="77777777" w:rsidR="00F10CBD" w:rsidRPr="00557367" w:rsidRDefault="00F10CBD" w:rsidP="00813421">
            <w:pPr>
              <w:spacing w:line="240" w:lineRule="auto"/>
              <w:ind w:firstLine="0"/>
              <w:rPr>
                <w:color w:val="000000"/>
                <w:sz w:val="22"/>
                <w:szCs w:val="22"/>
                <w:lang w:eastAsia="pt-PT"/>
              </w:rPr>
            </w:pPr>
          </w:p>
        </w:tc>
      </w:tr>
      <w:tr w:rsidR="006B048C" w:rsidRPr="00557367" w14:paraId="08E44560" w14:textId="77777777" w:rsidTr="00525543">
        <w:trPr>
          <w:trHeight w:val="302"/>
          <w:jc w:val="center"/>
        </w:trPr>
        <w:tc>
          <w:tcPr>
            <w:tcW w:w="2779" w:type="dxa"/>
            <w:noWrap/>
            <w:vAlign w:val="center"/>
            <w:hideMark/>
          </w:tcPr>
          <w:p w14:paraId="08E4455C" w14:textId="0DDD9C2C" w:rsidR="006B048C" w:rsidRPr="00557367" w:rsidRDefault="009B518F" w:rsidP="00813421">
            <w:pPr>
              <w:spacing w:line="240" w:lineRule="auto"/>
              <w:ind w:left="318" w:firstLine="0"/>
              <w:rPr>
                <w:sz w:val="22"/>
                <w:szCs w:val="22"/>
                <w:lang w:eastAsia="en-US"/>
              </w:rPr>
            </w:pPr>
            <w:r w:rsidRPr="00557367">
              <w:rPr>
                <w:sz w:val="22"/>
                <w:szCs w:val="22"/>
                <w:lang w:eastAsia="en-US"/>
              </w:rPr>
              <w:t>Professional/Managerial</w:t>
            </w:r>
          </w:p>
        </w:tc>
        <w:tc>
          <w:tcPr>
            <w:tcW w:w="1944" w:type="dxa"/>
            <w:tcBorders>
              <w:top w:val="nil"/>
              <w:left w:val="nil"/>
              <w:bottom w:val="nil"/>
              <w:right w:val="nil"/>
            </w:tcBorders>
            <w:shd w:val="clear" w:color="auto" w:fill="auto"/>
            <w:noWrap/>
            <w:vAlign w:val="center"/>
          </w:tcPr>
          <w:p w14:paraId="08E4455D" w14:textId="5EA74CE1" w:rsidR="006B048C" w:rsidRPr="00557367" w:rsidRDefault="006B048C" w:rsidP="00813421">
            <w:pPr>
              <w:spacing w:line="240" w:lineRule="auto"/>
              <w:ind w:firstLine="0"/>
              <w:rPr>
                <w:color w:val="000000"/>
                <w:sz w:val="22"/>
                <w:szCs w:val="22"/>
                <w:lang w:eastAsia="pt-PT"/>
              </w:rPr>
            </w:pPr>
            <w:r w:rsidRPr="00557367">
              <w:rPr>
                <w:sz w:val="22"/>
                <w:szCs w:val="22"/>
                <w:lang w:eastAsia="en-US"/>
              </w:rPr>
              <w:t xml:space="preserve">0.68 (0.58, </w:t>
            </w:r>
            <w:proofErr w:type="gramStart"/>
            <w:r w:rsidRPr="00557367">
              <w:rPr>
                <w:sz w:val="22"/>
                <w:szCs w:val="22"/>
                <w:lang w:eastAsia="en-US"/>
              </w:rPr>
              <w:t>0.79)</w:t>
            </w:r>
            <w:r w:rsidRPr="00557367">
              <w:rPr>
                <w:sz w:val="22"/>
                <w:szCs w:val="22"/>
                <w:vertAlign w:val="superscript"/>
                <w:lang w:eastAsia="en-US"/>
              </w:rPr>
              <w:t>*</w:t>
            </w:r>
            <w:proofErr w:type="gramEnd"/>
          </w:p>
        </w:tc>
        <w:tc>
          <w:tcPr>
            <w:tcW w:w="1944" w:type="dxa"/>
            <w:tcBorders>
              <w:top w:val="nil"/>
              <w:left w:val="nil"/>
              <w:bottom w:val="nil"/>
              <w:right w:val="nil"/>
            </w:tcBorders>
            <w:shd w:val="clear" w:color="auto" w:fill="auto"/>
            <w:noWrap/>
            <w:vAlign w:val="center"/>
          </w:tcPr>
          <w:p w14:paraId="08E4455E" w14:textId="6D46B5B8" w:rsidR="006B048C" w:rsidRPr="00557367" w:rsidRDefault="006B048C" w:rsidP="00813421">
            <w:pPr>
              <w:spacing w:line="240" w:lineRule="auto"/>
              <w:ind w:firstLine="0"/>
              <w:rPr>
                <w:color w:val="000000"/>
                <w:sz w:val="22"/>
                <w:szCs w:val="22"/>
                <w:lang w:eastAsia="pt-PT"/>
              </w:rPr>
            </w:pPr>
            <w:r w:rsidRPr="00557367">
              <w:rPr>
                <w:sz w:val="22"/>
                <w:szCs w:val="22"/>
                <w:lang w:eastAsia="en-US"/>
              </w:rPr>
              <w:t>0.94 (0.84, 1.04)</w:t>
            </w:r>
          </w:p>
        </w:tc>
        <w:tc>
          <w:tcPr>
            <w:tcW w:w="1945" w:type="dxa"/>
            <w:tcBorders>
              <w:top w:val="nil"/>
              <w:left w:val="nil"/>
              <w:bottom w:val="nil"/>
              <w:right w:val="nil"/>
            </w:tcBorders>
            <w:shd w:val="clear" w:color="auto" w:fill="auto"/>
            <w:noWrap/>
            <w:vAlign w:val="center"/>
          </w:tcPr>
          <w:p w14:paraId="08E4455F" w14:textId="083953E7" w:rsidR="006B048C" w:rsidRPr="00557367" w:rsidRDefault="006B048C" w:rsidP="00813421">
            <w:pPr>
              <w:spacing w:line="240" w:lineRule="auto"/>
              <w:ind w:firstLine="0"/>
              <w:rPr>
                <w:color w:val="000000"/>
                <w:sz w:val="22"/>
                <w:szCs w:val="22"/>
                <w:lang w:eastAsia="pt-PT"/>
              </w:rPr>
            </w:pPr>
            <w:r w:rsidRPr="00557367">
              <w:rPr>
                <w:sz w:val="22"/>
                <w:szCs w:val="22"/>
                <w:lang w:eastAsia="en-US"/>
              </w:rPr>
              <w:t xml:space="preserve">0.89 (0.79, </w:t>
            </w:r>
            <w:proofErr w:type="gramStart"/>
            <w:r w:rsidRPr="00557367">
              <w:rPr>
                <w:sz w:val="22"/>
                <w:szCs w:val="22"/>
                <w:lang w:eastAsia="en-US"/>
              </w:rPr>
              <w:t>0.99)</w:t>
            </w:r>
            <w:r w:rsidRPr="00557367">
              <w:rPr>
                <w:sz w:val="22"/>
                <w:szCs w:val="22"/>
                <w:vertAlign w:val="superscript"/>
                <w:lang w:eastAsia="en-US"/>
              </w:rPr>
              <w:t>‡</w:t>
            </w:r>
            <w:proofErr w:type="gramEnd"/>
          </w:p>
        </w:tc>
      </w:tr>
      <w:tr w:rsidR="006B048C" w:rsidRPr="00557367" w14:paraId="08E44565" w14:textId="77777777" w:rsidTr="00525543">
        <w:trPr>
          <w:trHeight w:val="302"/>
          <w:jc w:val="center"/>
        </w:trPr>
        <w:tc>
          <w:tcPr>
            <w:tcW w:w="2779" w:type="dxa"/>
            <w:noWrap/>
            <w:vAlign w:val="center"/>
            <w:hideMark/>
          </w:tcPr>
          <w:p w14:paraId="08E44561" w14:textId="7D64F204" w:rsidR="009B518F" w:rsidRPr="00557367" w:rsidRDefault="009B518F" w:rsidP="00813421">
            <w:pPr>
              <w:spacing w:line="240" w:lineRule="auto"/>
              <w:ind w:left="318" w:firstLine="0"/>
              <w:rPr>
                <w:color w:val="000000"/>
                <w:sz w:val="22"/>
                <w:szCs w:val="22"/>
                <w:lang w:eastAsia="pt-PT"/>
              </w:rPr>
            </w:pPr>
            <w:r w:rsidRPr="00557367">
              <w:rPr>
                <w:sz w:val="22"/>
                <w:szCs w:val="22"/>
                <w:lang w:eastAsia="en-US"/>
              </w:rPr>
              <w:t>Manual worker</w:t>
            </w:r>
          </w:p>
        </w:tc>
        <w:tc>
          <w:tcPr>
            <w:tcW w:w="1944" w:type="dxa"/>
            <w:tcBorders>
              <w:top w:val="nil"/>
              <w:left w:val="nil"/>
              <w:bottom w:val="nil"/>
              <w:right w:val="nil"/>
            </w:tcBorders>
            <w:shd w:val="clear" w:color="auto" w:fill="auto"/>
            <w:noWrap/>
            <w:vAlign w:val="center"/>
          </w:tcPr>
          <w:p w14:paraId="08E44562" w14:textId="429074AB" w:rsidR="006B048C" w:rsidRPr="00557367" w:rsidRDefault="006B048C" w:rsidP="00813421">
            <w:pPr>
              <w:spacing w:line="240" w:lineRule="auto"/>
              <w:ind w:firstLine="0"/>
              <w:rPr>
                <w:color w:val="000000"/>
                <w:sz w:val="22"/>
                <w:szCs w:val="22"/>
                <w:lang w:eastAsia="pt-PT"/>
              </w:rPr>
            </w:pPr>
            <w:r w:rsidRPr="00557367">
              <w:rPr>
                <w:sz w:val="22"/>
                <w:szCs w:val="22"/>
                <w:lang w:eastAsia="en-US"/>
              </w:rPr>
              <w:t>0.93 (0.83, 1.03)</w:t>
            </w:r>
          </w:p>
        </w:tc>
        <w:tc>
          <w:tcPr>
            <w:tcW w:w="1944" w:type="dxa"/>
            <w:tcBorders>
              <w:top w:val="nil"/>
              <w:left w:val="nil"/>
              <w:bottom w:val="nil"/>
              <w:right w:val="nil"/>
            </w:tcBorders>
            <w:shd w:val="clear" w:color="auto" w:fill="auto"/>
            <w:noWrap/>
            <w:vAlign w:val="center"/>
          </w:tcPr>
          <w:p w14:paraId="08E44563" w14:textId="259ABC3C" w:rsidR="006B048C" w:rsidRPr="00557367" w:rsidRDefault="006B048C" w:rsidP="00813421">
            <w:pPr>
              <w:spacing w:line="240" w:lineRule="auto"/>
              <w:ind w:firstLine="0"/>
              <w:rPr>
                <w:color w:val="000000"/>
                <w:sz w:val="22"/>
                <w:szCs w:val="22"/>
                <w:lang w:eastAsia="pt-PT"/>
              </w:rPr>
            </w:pPr>
            <w:r w:rsidRPr="00557367">
              <w:rPr>
                <w:sz w:val="22"/>
                <w:szCs w:val="22"/>
                <w:lang w:eastAsia="en-US"/>
              </w:rPr>
              <w:t>1.02 (0.91, 1.13)</w:t>
            </w:r>
          </w:p>
        </w:tc>
        <w:tc>
          <w:tcPr>
            <w:tcW w:w="1945" w:type="dxa"/>
            <w:tcBorders>
              <w:top w:val="nil"/>
              <w:left w:val="nil"/>
              <w:bottom w:val="nil"/>
              <w:right w:val="nil"/>
            </w:tcBorders>
            <w:shd w:val="clear" w:color="auto" w:fill="auto"/>
            <w:noWrap/>
            <w:vAlign w:val="center"/>
          </w:tcPr>
          <w:p w14:paraId="08E44564" w14:textId="36A9DD00" w:rsidR="006B048C" w:rsidRPr="00557367" w:rsidRDefault="006B048C" w:rsidP="00813421">
            <w:pPr>
              <w:spacing w:line="240" w:lineRule="auto"/>
              <w:ind w:firstLine="0"/>
              <w:rPr>
                <w:color w:val="000000"/>
                <w:sz w:val="22"/>
                <w:szCs w:val="22"/>
                <w:lang w:eastAsia="pt-PT"/>
              </w:rPr>
            </w:pPr>
            <w:r w:rsidRPr="00557367">
              <w:rPr>
                <w:sz w:val="22"/>
                <w:szCs w:val="22"/>
                <w:lang w:eastAsia="en-US"/>
              </w:rPr>
              <w:t xml:space="preserve">1.11 (1.00, </w:t>
            </w:r>
            <w:proofErr w:type="gramStart"/>
            <w:r w:rsidRPr="00557367">
              <w:rPr>
                <w:sz w:val="22"/>
                <w:szCs w:val="22"/>
                <w:lang w:eastAsia="en-US"/>
              </w:rPr>
              <w:t>1.21)</w:t>
            </w:r>
            <w:r w:rsidRPr="00557367">
              <w:rPr>
                <w:sz w:val="22"/>
                <w:szCs w:val="22"/>
                <w:vertAlign w:val="superscript"/>
                <w:lang w:eastAsia="en-US"/>
              </w:rPr>
              <w:t>+</w:t>
            </w:r>
            <w:proofErr w:type="gramEnd"/>
          </w:p>
        </w:tc>
      </w:tr>
      <w:tr w:rsidR="00680B6E" w:rsidRPr="00557367" w14:paraId="08E4457E" w14:textId="77777777" w:rsidTr="00525543">
        <w:trPr>
          <w:trHeight w:val="302"/>
          <w:jc w:val="center"/>
        </w:trPr>
        <w:tc>
          <w:tcPr>
            <w:tcW w:w="2779" w:type="dxa"/>
            <w:noWrap/>
            <w:vAlign w:val="center"/>
            <w:hideMark/>
          </w:tcPr>
          <w:p w14:paraId="08E4457A" w14:textId="77777777" w:rsidR="00680B6E" w:rsidRPr="00557367" w:rsidRDefault="00680B6E" w:rsidP="00813421">
            <w:pPr>
              <w:spacing w:line="240" w:lineRule="auto"/>
              <w:ind w:firstLine="0"/>
              <w:rPr>
                <w:color w:val="000000"/>
                <w:sz w:val="22"/>
                <w:szCs w:val="22"/>
                <w:lang w:eastAsia="pt-PT"/>
              </w:rPr>
            </w:pPr>
            <w:r w:rsidRPr="00557367">
              <w:rPr>
                <w:color w:val="000000"/>
                <w:sz w:val="22"/>
                <w:szCs w:val="22"/>
                <w:lang w:eastAsia="pt-PT"/>
              </w:rPr>
              <w:t>Education</w:t>
            </w:r>
          </w:p>
        </w:tc>
        <w:tc>
          <w:tcPr>
            <w:tcW w:w="1944" w:type="dxa"/>
            <w:tcBorders>
              <w:top w:val="nil"/>
              <w:left w:val="nil"/>
              <w:bottom w:val="nil"/>
              <w:right w:val="nil"/>
            </w:tcBorders>
            <w:shd w:val="clear" w:color="auto" w:fill="auto"/>
            <w:noWrap/>
            <w:vAlign w:val="center"/>
          </w:tcPr>
          <w:p w14:paraId="08E4457B" w14:textId="27E99C55"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0.89 (0.87, </w:t>
            </w:r>
            <w:proofErr w:type="gramStart"/>
            <w:r w:rsidRPr="00557367">
              <w:rPr>
                <w:sz w:val="22"/>
                <w:szCs w:val="22"/>
                <w:lang w:eastAsia="en-US"/>
              </w:rPr>
              <w:t>0.90)</w:t>
            </w:r>
            <w:r w:rsidRPr="00557367">
              <w:rPr>
                <w:sz w:val="22"/>
                <w:szCs w:val="22"/>
                <w:vertAlign w:val="superscript"/>
                <w:lang w:eastAsia="en-US"/>
              </w:rPr>
              <w:t>*</w:t>
            </w:r>
            <w:proofErr w:type="gramEnd"/>
          </w:p>
        </w:tc>
        <w:tc>
          <w:tcPr>
            <w:tcW w:w="1944" w:type="dxa"/>
            <w:tcBorders>
              <w:top w:val="nil"/>
              <w:left w:val="nil"/>
              <w:bottom w:val="nil"/>
              <w:right w:val="nil"/>
            </w:tcBorders>
            <w:shd w:val="clear" w:color="auto" w:fill="auto"/>
            <w:noWrap/>
            <w:vAlign w:val="center"/>
          </w:tcPr>
          <w:p w14:paraId="08E4457C" w14:textId="7215E119"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1.03 (1.02, </w:t>
            </w:r>
            <w:proofErr w:type="gramStart"/>
            <w:r w:rsidRPr="00557367">
              <w:rPr>
                <w:sz w:val="22"/>
                <w:szCs w:val="22"/>
                <w:lang w:eastAsia="en-US"/>
              </w:rPr>
              <w:t>1.05)</w:t>
            </w:r>
            <w:r w:rsidRPr="00557367">
              <w:rPr>
                <w:sz w:val="22"/>
                <w:szCs w:val="22"/>
                <w:vertAlign w:val="superscript"/>
                <w:lang w:eastAsia="en-US"/>
              </w:rPr>
              <w:t>*</w:t>
            </w:r>
            <w:proofErr w:type="gramEnd"/>
          </w:p>
        </w:tc>
        <w:tc>
          <w:tcPr>
            <w:tcW w:w="1945" w:type="dxa"/>
            <w:tcBorders>
              <w:top w:val="nil"/>
              <w:left w:val="nil"/>
              <w:bottom w:val="nil"/>
              <w:right w:val="nil"/>
            </w:tcBorders>
            <w:shd w:val="clear" w:color="auto" w:fill="auto"/>
            <w:noWrap/>
            <w:vAlign w:val="center"/>
          </w:tcPr>
          <w:p w14:paraId="08E4457D" w14:textId="069B0538"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0.96 (0.95, </w:t>
            </w:r>
            <w:proofErr w:type="gramStart"/>
            <w:r w:rsidRPr="00557367">
              <w:rPr>
                <w:sz w:val="22"/>
                <w:szCs w:val="22"/>
                <w:lang w:eastAsia="en-US"/>
              </w:rPr>
              <w:t>0.97)</w:t>
            </w:r>
            <w:r w:rsidRPr="00557367">
              <w:rPr>
                <w:sz w:val="22"/>
                <w:szCs w:val="22"/>
                <w:vertAlign w:val="superscript"/>
                <w:lang w:eastAsia="en-US"/>
              </w:rPr>
              <w:t>*</w:t>
            </w:r>
            <w:proofErr w:type="gramEnd"/>
          </w:p>
        </w:tc>
      </w:tr>
      <w:tr w:rsidR="00680B6E" w:rsidRPr="00557367" w14:paraId="08E44583" w14:textId="77777777" w:rsidTr="00525543">
        <w:trPr>
          <w:trHeight w:val="302"/>
          <w:jc w:val="center"/>
        </w:trPr>
        <w:tc>
          <w:tcPr>
            <w:tcW w:w="2779" w:type="dxa"/>
            <w:noWrap/>
            <w:vAlign w:val="center"/>
            <w:hideMark/>
          </w:tcPr>
          <w:p w14:paraId="08E4457F" w14:textId="77777777" w:rsidR="00680B6E" w:rsidRPr="00557367" w:rsidRDefault="00680B6E" w:rsidP="00813421">
            <w:pPr>
              <w:spacing w:line="240" w:lineRule="auto"/>
              <w:ind w:firstLine="0"/>
              <w:rPr>
                <w:color w:val="000000"/>
                <w:sz w:val="22"/>
                <w:szCs w:val="22"/>
                <w:lang w:eastAsia="pt-PT"/>
              </w:rPr>
            </w:pPr>
            <w:r w:rsidRPr="00557367">
              <w:rPr>
                <w:color w:val="000000"/>
                <w:sz w:val="22"/>
                <w:szCs w:val="22"/>
                <w:lang w:eastAsia="pt-PT"/>
              </w:rPr>
              <w:t>Socioeconomic status</w:t>
            </w:r>
          </w:p>
        </w:tc>
        <w:tc>
          <w:tcPr>
            <w:tcW w:w="1944" w:type="dxa"/>
            <w:tcBorders>
              <w:top w:val="nil"/>
              <w:left w:val="nil"/>
              <w:bottom w:val="nil"/>
              <w:right w:val="nil"/>
            </w:tcBorders>
            <w:shd w:val="clear" w:color="auto" w:fill="auto"/>
            <w:noWrap/>
            <w:vAlign w:val="center"/>
          </w:tcPr>
          <w:p w14:paraId="08E44580" w14:textId="6EA5091C"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0.93 (0.90, </w:t>
            </w:r>
            <w:proofErr w:type="gramStart"/>
            <w:r w:rsidRPr="00557367">
              <w:rPr>
                <w:sz w:val="22"/>
                <w:szCs w:val="22"/>
                <w:lang w:eastAsia="en-US"/>
              </w:rPr>
              <w:t>0.95)</w:t>
            </w:r>
            <w:r w:rsidRPr="00557367">
              <w:rPr>
                <w:sz w:val="22"/>
                <w:szCs w:val="22"/>
                <w:vertAlign w:val="superscript"/>
                <w:lang w:eastAsia="en-US"/>
              </w:rPr>
              <w:t>*</w:t>
            </w:r>
            <w:proofErr w:type="gramEnd"/>
          </w:p>
        </w:tc>
        <w:tc>
          <w:tcPr>
            <w:tcW w:w="1944" w:type="dxa"/>
            <w:tcBorders>
              <w:top w:val="nil"/>
              <w:left w:val="nil"/>
              <w:bottom w:val="nil"/>
              <w:right w:val="nil"/>
            </w:tcBorders>
            <w:shd w:val="clear" w:color="auto" w:fill="auto"/>
            <w:noWrap/>
            <w:vAlign w:val="center"/>
          </w:tcPr>
          <w:p w14:paraId="08E44581" w14:textId="677EC38E" w:rsidR="00680B6E" w:rsidRPr="00557367" w:rsidRDefault="00680B6E" w:rsidP="00813421">
            <w:pPr>
              <w:spacing w:line="240" w:lineRule="auto"/>
              <w:ind w:firstLine="0"/>
              <w:rPr>
                <w:color w:val="000000"/>
                <w:sz w:val="22"/>
                <w:szCs w:val="22"/>
                <w:lang w:eastAsia="pt-PT"/>
              </w:rPr>
            </w:pPr>
            <w:r w:rsidRPr="00557367">
              <w:rPr>
                <w:sz w:val="22"/>
                <w:szCs w:val="22"/>
                <w:lang w:eastAsia="en-US"/>
              </w:rPr>
              <w:t>1.00 (0.97, 1.02)</w:t>
            </w:r>
          </w:p>
        </w:tc>
        <w:tc>
          <w:tcPr>
            <w:tcW w:w="1945" w:type="dxa"/>
            <w:tcBorders>
              <w:top w:val="nil"/>
              <w:left w:val="nil"/>
              <w:bottom w:val="nil"/>
              <w:right w:val="nil"/>
            </w:tcBorders>
            <w:shd w:val="clear" w:color="auto" w:fill="auto"/>
            <w:noWrap/>
            <w:vAlign w:val="center"/>
          </w:tcPr>
          <w:p w14:paraId="08E44582" w14:textId="5F5CC2F2"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0.95 (0.93, </w:t>
            </w:r>
            <w:proofErr w:type="gramStart"/>
            <w:r w:rsidRPr="00557367">
              <w:rPr>
                <w:sz w:val="22"/>
                <w:szCs w:val="22"/>
                <w:lang w:eastAsia="en-US"/>
              </w:rPr>
              <w:t>0.97)</w:t>
            </w:r>
            <w:r w:rsidRPr="00557367">
              <w:rPr>
                <w:sz w:val="22"/>
                <w:szCs w:val="22"/>
                <w:vertAlign w:val="superscript"/>
                <w:lang w:eastAsia="en-US"/>
              </w:rPr>
              <w:t>*</w:t>
            </w:r>
            <w:proofErr w:type="gramEnd"/>
          </w:p>
        </w:tc>
      </w:tr>
      <w:tr w:rsidR="006B048C" w:rsidRPr="00557367" w14:paraId="08E44588" w14:textId="77777777" w:rsidTr="00525543">
        <w:trPr>
          <w:trHeight w:val="302"/>
          <w:jc w:val="center"/>
        </w:trPr>
        <w:tc>
          <w:tcPr>
            <w:tcW w:w="2779" w:type="dxa"/>
            <w:noWrap/>
            <w:vAlign w:val="center"/>
            <w:hideMark/>
          </w:tcPr>
          <w:p w14:paraId="08E44584" w14:textId="41F68D07" w:rsidR="006B048C" w:rsidRPr="00557367" w:rsidRDefault="00852D60" w:rsidP="00813421">
            <w:pPr>
              <w:spacing w:line="240" w:lineRule="auto"/>
              <w:ind w:firstLine="0"/>
              <w:rPr>
                <w:color w:val="000000"/>
                <w:sz w:val="22"/>
                <w:szCs w:val="22"/>
                <w:lang w:eastAsia="pt-PT"/>
              </w:rPr>
            </w:pPr>
            <w:r w:rsidRPr="00557367">
              <w:rPr>
                <w:color w:val="000000"/>
                <w:sz w:val="22"/>
                <w:szCs w:val="22"/>
                <w:lang w:eastAsia="pt-PT"/>
              </w:rPr>
              <w:t>National CSO</w:t>
            </w:r>
          </w:p>
        </w:tc>
        <w:tc>
          <w:tcPr>
            <w:tcW w:w="1944" w:type="dxa"/>
            <w:noWrap/>
            <w:vAlign w:val="center"/>
          </w:tcPr>
          <w:p w14:paraId="08E44585" w14:textId="27258178" w:rsidR="006B048C" w:rsidRPr="00557367" w:rsidRDefault="006B048C" w:rsidP="00813421">
            <w:pPr>
              <w:spacing w:line="240" w:lineRule="auto"/>
              <w:ind w:firstLine="0"/>
              <w:rPr>
                <w:color w:val="000000"/>
                <w:sz w:val="22"/>
                <w:szCs w:val="22"/>
                <w:lang w:eastAsia="pt-PT"/>
              </w:rPr>
            </w:pPr>
            <w:r w:rsidRPr="00557367">
              <w:rPr>
                <w:sz w:val="22"/>
                <w:szCs w:val="22"/>
                <w:lang w:eastAsia="en-US"/>
              </w:rPr>
              <w:t>0.96 (0.87, 1.05)</w:t>
            </w:r>
          </w:p>
        </w:tc>
        <w:tc>
          <w:tcPr>
            <w:tcW w:w="1944" w:type="dxa"/>
            <w:noWrap/>
            <w:vAlign w:val="center"/>
          </w:tcPr>
          <w:p w14:paraId="08E44586" w14:textId="30C14A7C" w:rsidR="006B048C" w:rsidRPr="00557367" w:rsidRDefault="006B048C" w:rsidP="00813421">
            <w:pPr>
              <w:spacing w:line="240" w:lineRule="auto"/>
              <w:ind w:firstLine="0"/>
              <w:rPr>
                <w:color w:val="000000"/>
                <w:sz w:val="22"/>
                <w:szCs w:val="22"/>
                <w:lang w:eastAsia="pt-PT"/>
              </w:rPr>
            </w:pPr>
            <w:r w:rsidRPr="00557367">
              <w:rPr>
                <w:sz w:val="22"/>
                <w:szCs w:val="22"/>
                <w:lang w:eastAsia="en-US"/>
              </w:rPr>
              <w:t xml:space="preserve">1.08 (1.00, </w:t>
            </w:r>
            <w:proofErr w:type="gramStart"/>
            <w:r w:rsidRPr="00557367">
              <w:rPr>
                <w:sz w:val="22"/>
                <w:szCs w:val="22"/>
                <w:lang w:eastAsia="en-US"/>
              </w:rPr>
              <w:t>1.15)</w:t>
            </w:r>
            <w:r w:rsidRPr="00557367">
              <w:rPr>
                <w:sz w:val="22"/>
                <w:szCs w:val="22"/>
                <w:vertAlign w:val="superscript"/>
                <w:lang w:eastAsia="en-US"/>
              </w:rPr>
              <w:t>+</w:t>
            </w:r>
            <w:proofErr w:type="gramEnd"/>
          </w:p>
        </w:tc>
        <w:tc>
          <w:tcPr>
            <w:tcW w:w="1945" w:type="dxa"/>
            <w:tcBorders>
              <w:left w:val="nil"/>
            </w:tcBorders>
            <w:noWrap/>
            <w:vAlign w:val="center"/>
          </w:tcPr>
          <w:p w14:paraId="08E44587" w14:textId="50FCAA04" w:rsidR="006B048C" w:rsidRPr="00557367" w:rsidRDefault="006B048C" w:rsidP="00813421">
            <w:pPr>
              <w:spacing w:line="240" w:lineRule="auto"/>
              <w:ind w:firstLine="0"/>
              <w:rPr>
                <w:color w:val="000000"/>
                <w:sz w:val="22"/>
                <w:szCs w:val="22"/>
                <w:lang w:eastAsia="pt-PT"/>
              </w:rPr>
            </w:pPr>
            <w:r w:rsidRPr="00557367">
              <w:rPr>
                <w:sz w:val="22"/>
                <w:szCs w:val="22"/>
                <w:lang w:eastAsia="en-US"/>
              </w:rPr>
              <w:t>0.94 (0.87, 1.02)</w:t>
            </w:r>
          </w:p>
        </w:tc>
      </w:tr>
      <w:tr w:rsidR="006B048C" w:rsidRPr="00557367" w14:paraId="08E4458D" w14:textId="77777777" w:rsidTr="00525543">
        <w:trPr>
          <w:trHeight w:val="302"/>
          <w:jc w:val="center"/>
        </w:trPr>
        <w:tc>
          <w:tcPr>
            <w:tcW w:w="2779" w:type="dxa"/>
            <w:noWrap/>
            <w:vAlign w:val="center"/>
            <w:hideMark/>
          </w:tcPr>
          <w:p w14:paraId="08E44589" w14:textId="2984CA57" w:rsidR="006B048C" w:rsidRPr="00557367" w:rsidRDefault="00852D60" w:rsidP="00813421">
            <w:pPr>
              <w:spacing w:line="240" w:lineRule="auto"/>
              <w:ind w:firstLine="0"/>
              <w:rPr>
                <w:color w:val="000000"/>
                <w:sz w:val="22"/>
                <w:szCs w:val="22"/>
                <w:lang w:eastAsia="pt-PT"/>
              </w:rPr>
            </w:pPr>
            <w:r w:rsidRPr="00557367">
              <w:rPr>
                <w:color w:val="000000"/>
                <w:sz w:val="22"/>
                <w:szCs w:val="22"/>
                <w:lang w:eastAsia="pt-PT"/>
              </w:rPr>
              <w:t>Local CSO</w:t>
            </w:r>
          </w:p>
        </w:tc>
        <w:tc>
          <w:tcPr>
            <w:tcW w:w="1944" w:type="dxa"/>
            <w:noWrap/>
            <w:vAlign w:val="center"/>
          </w:tcPr>
          <w:p w14:paraId="08E4458A" w14:textId="13A3B066" w:rsidR="006B048C" w:rsidRPr="00557367" w:rsidRDefault="006B048C" w:rsidP="00813421">
            <w:pPr>
              <w:spacing w:line="240" w:lineRule="auto"/>
              <w:ind w:firstLine="0"/>
              <w:rPr>
                <w:color w:val="000000"/>
                <w:sz w:val="22"/>
                <w:szCs w:val="22"/>
                <w:lang w:eastAsia="pt-PT"/>
              </w:rPr>
            </w:pPr>
            <w:r w:rsidRPr="00557367">
              <w:rPr>
                <w:sz w:val="22"/>
                <w:szCs w:val="22"/>
                <w:lang w:eastAsia="en-US"/>
              </w:rPr>
              <w:t xml:space="preserve">0.73 (0.64, </w:t>
            </w:r>
            <w:proofErr w:type="gramStart"/>
            <w:r w:rsidRPr="00557367">
              <w:rPr>
                <w:sz w:val="22"/>
                <w:szCs w:val="22"/>
                <w:lang w:eastAsia="en-US"/>
              </w:rPr>
              <w:t>0.82)</w:t>
            </w:r>
            <w:r w:rsidRPr="00557367">
              <w:rPr>
                <w:sz w:val="22"/>
                <w:szCs w:val="22"/>
                <w:vertAlign w:val="superscript"/>
                <w:lang w:eastAsia="en-US"/>
              </w:rPr>
              <w:t>*</w:t>
            </w:r>
            <w:proofErr w:type="gramEnd"/>
          </w:p>
        </w:tc>
        <w:tc>
          <w:tcPr>
            <w:tcW w:w="1944" w:type="dxa"/>
            <w:noWrap/>
            <w:vAlign w:val="center"/>
          </w:tcPr>
          <w:p w14:paraId="08E4458B" w14:textId="3447DF9E" w:rsidR="006B048C" w:rsidRPr="00557367" w:rsidRDefault="006B048C" w:rsidP="00813421">
            <w:pPr>
              <w:spacing w:line="240" w:lineRule="auto"/>
              <w:ind w:firstLine="0"/>
              <w:rPr>
                <w:color w:val="000000"/>
                <w:sz w:val="22"/>
                <w:szCs w:val="22"/>
                <w:lang w:eastAsia="pt-PT"/>
              </w:rPr>
            </w:pPr>
            <w:r w:rsidRPr="00557367">
              <w:rPr>
                <w:sz w:val="22"/>
                <w:szCs w:val="22"/>
                <w:lang w:eastAsia="en-US"/>
              </w:rPr>
              <w:t xml:space="preserve">0.90 (0.83, </w:t>
            </w:r>
            <w:proofErr w:type="gramStart"/>
            <w:r w:rsidRPr="00557367">
              <w:rPr>
                <w:sz w:val="22"/>
                <w:szCs w:val="22"/>
                <w:lang w:eastAsia="en-US"/>
              </w:rPr>
              <w:t>0.98)</w:t>
            </w:r>
            <w:r w:rsidRPr="00557367">
              <w:rPr>
                <w:sz w:val="22"/>
                <w:szCs w:val="22"/>
                <w:vertAlign w:val="superscript"/>
                <w:lang w:eastAsia="en-US"/>
              </w:rPr>
              <w:t>*</w:t>
            </w:r>
            <w:proofErr w:type="gramEnd"/>
          </w:p>
        </w:tc>
        <w:tc>
          <w:tcPr>
            <w:tcW w:w="1945" w:type="dxa"/>
            <w:tcBorders>
              <w:left w:val="nil"/>
            </w:tcBorders>
            <w:noWrap/>
            <w:vAlign w:val="center"/>
          </w:tcPr>
          <w:p w14:paraId="08E4458C" w14:textId="5DF514AC" w:rsidR="006B048C" w:rsidRPr="00557367" w:rsidRDefault="006B048C" w:rsidP="00813421">
            <w:pPr>
              <w:spacing w:line="240" w:lineRule="auto"/>
              <w:ind w:firstLine="0"/>
              <w:rPr>
                <w:color w:val="000000"/>
                <w:sz w:val="22"/>
                <w:szCs w:val="22"/>
                <w:lang w:eastAsia="pt-PT"/>
              </w:rPr>
            </w:pPr>
            <w:r w:rsidRPr="00557367">
              <w:rPr>
                <w:sz w:val="22"/>
                <w:szCs w:val="22"/>
                <w:lang w:eastAsia="en-US"/>
              </w:rPr>
              <w:t xml:space="preserve">1.13 (1.06, </w:t>
            </w:r>
            <w:proofErr w:type="gramStart"/>
            <w:r w:rsidRPr="00557367">
              <w:rPr>
                <w:sz w:val="22"/>
                <w:szCs w:val="22"/>
                <w:lang w:eastAsia="en-US"/>
              </w:rPr>
              <w:t>1.21)</w:t>
            </w:r>
            <w:r w:rsidRPr="00557367">
              <w:rPr>
                <w:sz w:val="22"/>
                <w:szCs w:val="22"/>
                <w:vertAlign w:val="superscript"/>
                <w:lang w:eastAsia="en-US"/>
              </w:rPr>
              <w:t>*</w:t>
            </w:r>
            <w:proofErr w:type="gramEnd"/>
          </w:p>
        </w:tc>
      </w:tr>
      <w:tr w:rsidR="00F10CBD" w:rsidRPr="00557367" w14:paraId="08E44592" w14:textId="77777777" w:rsidTr="00525543">
        <w:trPr>
          <w:trHeight w:val="302"/>
          <w:jc w:val="center"/>
        </w:trPr>
        <w:tc>
          <w:tcPr>
            <w:tcW w:w="2779" w:type="dxa"/>
            <w:noWrap/>
            <w:vAlign w:val="center"/>
          </w:tcPr>
          <w:p w14:paraId="08E4458E" w14:textId="77777777" w:rsidR="00F10CBD" w:rsidRPr="00557367" w:rsidRDefault="00F10CBD" w:rsidP="00813421">
            <w:pPr>
              <w:spacing w:line="240" w:lineRule="auto"/>
              <w:ind w:firstLine="0"/>
              <w:rPr>
                <w:color w:val="000000"/>
                <w:sz w:val="22"/>
                <w:szCs w:val="22"/>
                <w:lang w:eastAsia="pt-PT"/>
              </w:rPr>
            </w:pPr>
            <w:r w:rsidRPr="00557367">
              <w:rPr>
                <w:color w:val="000000"/>
                <w:sz w:val="22"/>
                <w:szCs w:val="22"/>
                <w:lang w:eastAsia="pt-PT"/>
              </w:rPr>
              <w:t>Community (base: Rural)</w:t>
            </w:r>
          </w:p>
        </w:tc>
        <w:tc>
          <w:tcPr>
            <w:tcW w:w="1944" w:type="dxa"/>
            <w:noWrap/>
            <w:vAlign w:val="center"/>
          </w:tcPr>
          <w:p w14:paraId="08E4458F" w14:textId="77777777" w:rsidR="00F10CBD" w:rsidRPr="00557367" w:rsidRDefault="00F10CBD" w:rsidP="00813421">
            <w:pPr>
              <w:spacing w:line="240" w:lineRule="auto"/>
              <w:ind w:firstLine="0"/>
              <w:rPr>
                <w:color w:val="000000"/>
                <w:sz w:val="22"/>
                <w:szCs w:val="22"/>
                <w:lang w:eastAsia="pt-PT"/>
              </w:rPr>
            </w:pPr>
          </w:p>
        </w:tc>
        <w:tc>
          <w:tcPr>
            <w:tcW w:w="1944" w:type="dxa"/>
            <w:noWrap/>
            <w:vAlign w:val="center"/>
          </w:tcPr>
          <w:p w14:paraId="08E44590" w14:textId="77777777" w:rsidR="00F10CBD" w:rsidRPr="00557367" w:rsidRDefault="00F10CBD" w:rsidP="00813421">
            <w:pPr>
              <w:spacing w:line="240" w:lineRule="auto"/>
              <w:ind w:firstLine="0"/>
              <w:rPr>
                <w:color w:val="000000"/>
                <w:sz w:val="22"/>
                <w:szCs w:val="22"/>
                <w:lang w:eastAsia="pt-PT"/>
              </w:rPr>
            </w:pPr>
          </w:p>
        </w:tc>
        <w:tc>
          <w:tcPr>
            <w:tcW w:w="1945" w:type="dxa"/>
            <w:tcBorders>
              <w:left w:val="nil"/>
            </w:tcBorders>
            <w:noWrap/>
            <w:vAlign w:val="center"/>
          </w:tcPr>
          <w:p w14:paraId="08E44591" w14:textId="77777777" w:rsidR="00F10CBD" w:rsidRPr="00557367" w:rsidRDefault="00F10CBD" w:rsidP="00813421">
            <w:pPr>
              <w:spacing w:line="240" w:lineRule="auto"/>
              <w:ind w:firstLine="0"/>
              <w:rPr>
                <w:color w:val="000000"/>
                <w:sz w:val="22"/>
                <w:szCs w:val="22"/>
                <w:lang w:eastAsia="pt-PT"/>
              </w:rPr>
            </w:pPr>
          </w:p>
        </w:tc>
      </w:tr>
      <w:tr w:rsidR="00680B6E" w:rsidRPr="00557367" w14:paraId="08E44597" w14:textId="77777777" w:rsidTr="00525543">
        <w:trPr>
          <w:trHeight w:val="302"/>
          <w:jc w:val="center"/>
        </w:trPr>
        <w:tc>
          <w:tcPr>
            <w:tcW w:w="2779" w:type="dxa"/>
            <w:noWrap/>
            <w:vAlign w:val="center"/>
            <w:hideMark/>
          </w:tcPr>
          <w:p w14:paraId="08E44593" w14:textId="77777777" w:rsidR="00680B6E" w:rsidRPr="00557367" w:rsidRDefault="00680B6E" w:rsidP="00813421">
            <w:pPr>
              <w:spacing w:line="240" w:lineRule="auto"/>
              <w:ind w:left="318" w:firstLine="0"/>
              <w:rPr>
                <w:color w:val="000000"/>
                <w:sz w:val="22"/>
                <w:szCs w:val="22"/>
                <w:lang w:eastAsia="pt-PT"/>
              </w:rPr>
            </w:pPr>
            <w:r w:rsidRPr="00557367">
              <w:rPr>
                <w:color w:val="000000"/>
                <w:sz w:val="22"/>
                <w:szCs w:val="22"/>
                <w:lang w:eastAsia="pt-PT"/>
              </w:rPr>
              <w:t>Small/Middle town</w:t>
            </w:r>
          </w:p>
        </w:tc>
        <w:tc>
          <w:tcPr>
            <w:tcW w:w="1944" w:type="dxa"/>
            <w:noWrap/>
            <w:vAlign w:val="center"/>
          </w:tcPr>
          <w:p w14:paraId="08E44594" w14:textId="5B0043CF" w:rsidR="00680B6E" w:rsidRPr="00557367" w:rsidRDefault="00680B6E" w:rsidP="00813421">
            <w:pPr>
              <w:spacing w:line="240" w:lineRule="auto"/>
              <w:ind w:firstLine="0"/>
              <w:rPr>
                <w:color w:val="000000"/>
                <w:sz w:val="22"/>
                <w:szCs w:val="22"/>
                <w:lang w:eastAsia="pt-PT"/>
              </w:rPr>
            </w:pPr>
            <w:r w:rsidRPr="00557367">
              <w:rPr>
                <w:sz w:val="22"/>
                <w:szCs w:val="22"/>
                <w:lang w:eastAsia="en-US"/>
              </w:rPr>
              <w:t>0.98 (0.90, 1.07)</w:t>
            </w:r>
          </w:p>
        </w:tc>
        <w:tc>
          <w:tcPr>
            <w:tcW w:w="1944" w:type="dxa"/>
            <w:noWrap/>
            <w:vAlign w:val="center"/>
          </w:tcPr>
          <w:p w14:paraId="08E44595" w14:textId="1E7932AB"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1.08 (0.99, </w:t>
            </w:r>
            <w:proofErr w:type="gramStart"/>
            <w:r w:rsidRPr="00557367">
              <w:rPr>
                <w:sz w:val="22"/>
                <w:szCs w:val="22"/>
                <w:lang w:eastAsia="en-US"/>
              </w:rPr>
              <w:t>1.18)</w:t>
            </w:r>
            <w:r w:rsidRPr="00557367">
              <w:rPr>
                <w:sz w:val="22"/>
                <w:szCs w:val="22"/>
                <w:vertAlign w:val="superscript"/>
                <w:lang w:eastAsia="en-US"/>
              </w:rPr>
              <w:t>+</w:t>
            </w:r>
            <w:proofErr w:type="gramEnd"/>
          </w:p>
        </w:tc>
        <w:tc>
          <w:tcPr>
            <w:tcW w:w="1945" w:type="dxa"/>
            <w:tcBorders>
              <w:left w:val="nil"/>
            </w:tcBorders>
            <w:noWrap/>
            <w:vAlign w:val="center"/>
          </w:tcPr>
          <w:p w14:paraId="08E44596" w14:textId="61F1F486"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0.89 (0.81, </w:t>
            </w:r>
            <w:proofErr w:type="gramStart"/>
            <w:r w:rsidRPr="00557367">
              <w:rPr>
                <w:sz w:val="22"/>
                <w:szCs w:val="22"/>
                <w:lang w:eastAsia="en-US"/>
              </w:rPr>
              <w:t>0.98)</w:t>
            </w:r>
            <w:r w:rsidRPr="00557367">
              <w:rPr>
                <w:sz w:val="22"/>
                <w:szCs w:val="22"/>
                <w:vertAlign w:val="superscript"/>
                <w:lang w:eastAsia="en-US"/>
              </w:rPr>
              <w:t>*</w:t>
            </w:r>
            <w:proofErr w:type="gramEnd"/>
          </w:p>
        </w:tc>
      </w:tr>
      <w:tr w:rsidR="00680B6E" w:rsidRPr="00557367" w14:paraId="08E4459C" w14:textId="77777777" w:rsidTr="00525543">
        <w:trPr>
          <w:trHeight w:val="302"/>
          <w:jc w:val="center"/>
        </w:trPr>
        <w:tc>
          <w:tcPr>
            <w:tcW w:w="2779" w:type="dxa"/>
            <w:noWrap/>
            <w:vAlign w:val="center"/>
            <w:hideMark/>
          </w:tcPr>
          <w:p w14:paraId="08E44598" w14:textId="77777777" w:rsidR="00680B6E" w:rsidRPr="00557367" w:rsidRDefault="00680B6E" w:rsidP="00813421">
            <w:pPr>
              <w:spacing w:line="240" w:lineRule="auto"/>
              <w:ind w:left="318" w:firstLine="0"/>
              <w:rPr>
                <w:color w:val="000000"/>
                <w:sz w:val="22"/>
                <w:szCs w:val="22"/>
                <w:lang w:eastAsia="pt-PT"/>
              </w:rPr>
            </w:pPr>
            <w:r w:rsidRPr="00557367">
              <w:rPr>
                <w:color w:val="000000"/>
                <w:sz w:val="22"/>
                <w:szCs w:val="22"/>
                <w:lang w:eastAsia="pt-PT"/>
              </w:rPr>
              <w:t>Big town</w:t>
            </w:r>
          </w:p>
        </w:tc>
        <w:tc>
          <w:tcPr>
            <w:tcW w:w="1944" w:type="dxa"/>
            <w:noWrap/>
            <w:vAlign w:val="center"/>
          </w:tcPr>
          <w:p w14:paraId="08E44599" w14:textId="6DA488B1" w:rsidR="00680B6E" w:rsidRPr="00557367" w:rsidRDefault="00680B6E" w:rsidP="00813421">
            <w:pPr>
              <w:spacing w:line="240" w:lineRule="auto"/>
              <w:ind w:firstLine="0"/>
              <w:rPr>
                <w:color w:val="000000"/>
                <w:sz w:val="22"/>
                <w:szCs w:val="22"/>
                <w:lang w:eastAsia="pt-PT"/>
              </w:rPr>
            </w:pPr>
            <w:r w:rsidRPr="00557367">
              <w:rPr>
                <w:sz w:val="22"/>
                <w:szCs w:val="22"/>
                <w:lang w:eastAsia="en-US"/>
              </w:rPr>
              <w:t>1.00 (0.92, 1.09)</w:t>
            </w:r>
          </w:p>
        </w:tc>
        <w:tc>
          <w:tcPr>
            <w:tcW w:w="1944" w:type="dxa"/>
            <w:noWrap/>
            <w:vAlign w:val="center"/>
          </w:tcPr>
          <w:p w14:paraId="08E4459A" w14:textId="5C78224D"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1.13 (1.04, </w:t>
            </w:r>
            <w:proofErr w:type="gramStart"/>
            <w:r w:rsidRPr="00557367">
              <w:rPr>
                <w:sz w:val="22"/>
                <w:szCs w:val="22"/>
                <w:lang w:eastAsia="en-US"/>
              </w:rPr>
              <w:t>1.23)</w:t>
            </w:r>
            <w:r w:rsidRPr="00557367">
              <w:rPr>
                <w:sz w:val="22"/>
                <w:szCs w:val="22"/>
                <w:vertAlign w:val="superscript"/>
                <w:lang w:eastAsia="en-US"/>
              </w:rPr>
              <w:t>‡</w:t>
            </w:r>
            <w:proofErr w:type="gramEnd"/>
          </w:p>
        </w:tc>
        <w:tc>
          <w:tcPr>
            <w:tcW w:w="1945" w:type="dxa"/>
            <w:tcBorders>
              <w:left w:val="nil"/>
            </w:tcBorders>
            <w:noWrap/>
            <w:vAlign w:val="center"/>
          </w:tcPr>
          <w:p w14:paraId="08E4459B" w14:textId="3A8E4D17" w:rsidR="00680B6E" w:rsidRPr="00557367" w:rsidRDefault="00680B6E" w:rsidP="00813421">
            <w:pPr>
              <w:spacing w:line="240" w:lineRule="auto"/>
              <w:ind w:firstLine="0"/>
              <w:rPr>
                <w:color w:val="000000"/>
                <w:sz w:val="22"/>
                <w:szCs w:val="22"/>
                <w:lang w:eastAsia="pt-PT"/>
              </w:rPr>
            </w:pPr>
            <w:r w:rsidRPr="00557367">
              <w:rPr>
                <w:sz w:val="22"/>
                <w:szCs w:val="22"/>
                <w:lang w:eastAsia="en-US"/>
              </w:rPr>
              <w:t xml:space="preserve">0.68 (0.59, </w:t>
            </w:r>
            <w:proofErr w:type="gramStart"/>
            <w:r w:rsidRPr="00557367">
              <w:rPr>
                <w:sz w:val="22"/>
                <w:szCs w:val="22"/>
                <w:lang w:eastAsia="en-US"/>
              </w:rPr>
              <w:t>0.77)</w:t>
            </w:r>
            <w:r w:rsidRPr="00557367">
              <w:rPr>
                <w:sz w:val="22"/>
                <w:szCs w:val="22"/>
                <w:vertAlign w:val="superscript"/>
                <w:lang w:eastAsia="en-US"/>
              </w:rPr>
              <w:t>*</w:t>
            </w:r>
            <w:proofErr w:type="gramEnd"/>
          </w:p>
        </w:tc>
      </w:tr>
      <w:tr w:rsidR="00F10CBD" w:rsidRPr="00557367" w14:paraId="08E445A1" w14:textId="77777777" w:rsidTr="00525543">
        <w:trPr>
          <w:trHeight w:val="302"/>
          <w:jc w:val="center"/>
        </w:trPr>
        <w:tc>
          <w:tcPr>
            <w:tcW w:w="2779" w:type="dxa"/>
            <w:noWrap/>
            <w:vAlign w:val="center"/>
          </w:tcPr>
          <w:p w14:paraId="08E4459D" w14:textId="77777777" w:rsidR="00F10CBD" w:rsidRPr="00557367" w:rsidRDefault="00F10CBD" w:rsidP="00813421">
            <w:pPr>
              <w:spacing w:line="240" w:lineRule="auto"/>
              <w:ind w:firstLine="0"/>
              <w:rPr>
                <w:color w:val="000000"/>
                <w:sz w:val="22"/>
                <w:szCs w:val="22"/>
                <w:lang w:eastAsia="pt-PT"/>
              </w:rPr>
            </w:pPr>
          </w:p>
        </w:tc>
        <w:tc>
          <w:tcPr>
            <w:tcW w:w="1944" w:type="dxa"/>
            <w:noWrap/>
            <w:vAlign w:val="center"/>
          </w:tcPr>
          <w:p w14:paraId="08E4459E" w14:textId="77777777" w:rsidR="00F10CBD" w:rsidRPr="00557367" w:rsidRDefault="00F10CBD" w:rsidP="00813421">
            <w:pPr>
              <w:spacing w:line="240" w:lineRule="auto"/>
              <w:ind w:firstLine="0"/>
              <w:rPr>
                <w:color w:val="000000"/>
                <w:sz w:val="22"/>
                <w:szCs w:val="22"/>
                <w:lang w:eastAsia="pt-PT"/>
              </w:rPr>
            </w:pPr>
          </w:p>
        </w:tc>
        <w:tc>
          <w:tcPr>
            <w:tcW w:w="1944" w:type="dxa"/>
            <w:noWrap/>
            <w:vAlign w:val="center"/>
          </w:tcPr>
          <w:p w14:paraId="08E4459F" w14:textId="77777777" w:rsidR="00F10CBD" w:rsidRPr="00557367" w:rsidRDefault="00F10CBD" w:rsidP="00813421">
            <w:pPr>
              <w:spacing w:line="240" w:lineRule="auto"/>
              <w:ind w:firstLine="0"/>
              <w:rPr>
                <w:color w:val="000000"/>
                <w:sz w:val="22"/>
                <w:szCs w:val="22"/>
                <w:lang w:eastAsia="pt-PT"/>
              </w:rPr>
            </w:pPr>
          </w:p>
        </w:tc>
        <w:tc>
          <w:tcPr>
            <w:tcW w:w="1945" w:type="dxa"/>
            <w:tcBorders>
              <w:left w:val="nil"/>
            </w:tcBorders>
            <w:noWrap/>
            <w:vAlign w:val="center"/>
          </w:tcPr>
          <w:p w14:paraId="08E445A0" w14:textId="77777777" w:rsidR="00F10CBD" w:rsidRPr="00557367" w:rsidRDefault="00F10CBD" w:rsidP="00813421">
            <w:pPr>
              <w:spacing w:line="240" w:lineRule="auto"/>
              <w:ind w:firstLine="0"/>
              <w:rPr>
                <w:color w:val="000000"/>
                <w:sz w:val="22"/>
                <w:szCs w:val="22"/>
                <w:lang w:eastAsia="pt-PT"/>
              </w:rPr>
            </w:pPr>
          </w:p>
        </w:tc>
      </w:tr>
      <w:tr w:rsidR="00F10CBD" w:rsidRPr="00557367" w14:paraId="08E445A6" w14:textId="77777777" w:rsidTr="00525543">
        <w:trPr>
          <w:trHeight w:val="302"/>
          <w:jc w:val="center"/>
        </w:trPr>
        <w:tc>
          <w:tcPr>
            <w:tcW w:w="2779" w:type="dxa"/>
            <w:noWrap/>
            <w:vAlign w:val="center"/>
          </w:tcPr>
          <w:p w14:paraId="08E445A2" w14:textId="77777777" w:rsidR="00F10CBD" w:rsidRPr="00557367" w:rsidRDefault="00F10CBD" w:rsidP="00813421">
            <w:pPr>
              <w:spacing w:line="240" w:lineRule="auto"/>
              <w:ind w:firstLine="0"/>
              <w:rPr>
                <w:i/>
                <w:color w:val="000000"/>
                <w:sz w:val="22"/>
                <w:szCs w:val="22"/>
                <w:lang w:eastAsia="pt-PT"/>
              </w:rPr>
            </w:pPr>
            <w:r w:rsidRPr="00557367">
              <w:rPr>
                <w:i/>
                <w:color w:val="000000"/>
                <w:sz w:val="22"/>
                <w:szCs w:val="22"/>
                <w:lang w:eastAsia="pt-PT"/>
              </w:rPr>
              <w:t>Country level</w:t>
            </w:r>
          </w:p>
        </w:tc>
        <w:tc>
          <w:tcPr>
            <w:tcW w:w="1944" w:type="dxa"/>
            <w:noWrap/>
            <w:vAlign w:val="center"/>
          </w:tcPr>
          <w:p w14:paraId="08E445A3" w14:textId="77777777" w:rsidR="00F10CBD" w:rsidRPr="00557367" w:rsidRDefault="00F10CBD" w:rsidP="00813421">
            <w:pPr>
              <w:spacing w:line="240" w:lineRule="auto"/>
              <w:ind w:firstLine="0"/>
              <w:rPr>
                <w:color w:val="000000"/>
                <w:sz w:val="22"/>
                <w:szCs w:val="22"/>
                <w:lang w:eastAsia="pt-PT"/>
              </w:rPr>
            </w:pPr>
          </w:p>
        </w:tc>
        <w:tc>
          <w:tcPr>
            <w:tcW w:w="1944" w:type="dxa"/>
            <w:noWrap/>
            <w:vAlign w:val="center"/>
          </w:tcPr>
          <w:p w14:paraId="08E445A4" w14:textId="77777777" w:rsidR="00F10CBD" w:rsidRPr="00557367" w:rsidRDefault="00F10CBD" w:rsidP="00813421">
            <w:pPr>
              <w:spacing w:line="240" w:lineRule="auto"/>
              <w:ind w:firstLine="0"/>
              <w:rPr>
                <w:color w:val="000000"/>
                <w:sz w:val="22"/>
                <w:szCs w:val="22"/>
                <w:lang w:eastAsia="pt-PT"/>
              </w:rPr>
            </w:pPr>
          </w:p>
        </w:tc>
        <w:tc>
          <w:tcPr>
            <w:tcW w:w="1945" w:type="dxa"/>
            <w:tcBorders>
              <w:left w:val="nil"/>
            </w:tcBorders>
            <w:noWrap/>
            <w:vAlign w:val="center"/>
          </w:tcPr>
          <w:p w14:paraId="08E445A5" w14:textId="77777777" w:rsidR="00F10CBD" w:rsidRPr="00557367" w:rsidRDefault="00F10CBD" w:rsidP="00813421">
            <w:pPr>
              <w:spacing w:line="240" w:lineRule="auto"/>
              <w:ind w:firstLine="0"/>
              <w:rPr>
                <w:color w:val="000000"/>
                <w:sz w:val="22"/>
                <w:szCs w:val="22"/>
                <w:lang w:eastAsia="pt-PT"/>
              </w:rPr>
            </w:pPr>
          </w:p>
        </w:tc>
      </w:tr>
      <w:tr w:rsidR="006B048C" w:rsidRPr="00557367" w14:paraId="08E445AB" w14:textId="77777777" w:rsidTr="00525543">
        <w:trPr>
          <w:trHeight w:val="302"/>
          <w:jc w:val="center"/>
        </w:trPr>
        <w:tc>
          <w:tcPr>
            <w:tcW w:w="2779" w:type="dxa"/>
            <w:noWrap/>
            <w:vAlign w:val="center"/>
            <w:hideMark/>
          </w:tcPr>
          <w:p w14:paraId="08E445A7" w14:textId="1FB0BFF5" w:rsidR="006B048C" w:rsidRPr="00557367" w:rsidRDefault="00C249B6" w:rsidP="00813421">
            <w:pPr>
              <w:spacing w:line="240" w:lineRule="auto"/>
              <w:ind w:firstLine="0"/>
              <w:rPr>
                <w:color w:val="000000"/>
                <w:sz w:val="22"/>
                <w:szCs w:val="22"/>
                <w:lang w:eastAsia="pt-PT"/>
              </w:rPr>
            </w:pPr>
            <w:r w:rsidRPr="00557367">
              <w:rPr>
                <w:sz w:val="22"/>
                <w:szCs w:val="22"/>
                <w:lang w:eastAsia="en-US"/>
              </w:rPr>
              <w:t>Log (GDP/capita)</w:t>
            </w:r>
          </w:p>
        </w:tc>
        <w:tc>
          <w:tcPr>
            <w:tcW w:w="1944" w:type="dxa"/>
            <w:noWrap/>
            <w:vAlign w:val="center"/>
          </w:tcPr>
          <w:p w14:paraId="08E445A8" w14:textId="61B192B5" w:rsidR="006B048C" w:rsidRPr="00557367" w:rsidRDefault="006B048C" w:rsidP="00813421">
            <w:pPr>
              <w:spacing w:line="240" w:lineRule="auto"/>
              <w:ind w:firstLine="0"/>
              <w:rPr>
                <w:color w:val="000000"/>
                <w:sz w:val="22"/>
                <w:szCs w:val="22"/>
                <w:lang w:eastAsia="pt-PT"/>
              </w:rPr>
            </w:pPr>
            <w:r w:rsidRPr="00557367">
              <w:rPr>
                <w:sz w:val="22"/>
                <w:szCs w:val="22"/>
                <w:lang w:eastAsia="en-US"/>
              </w:rPr>
              <w:t>1.13 (0.87, 1.39)</w:t>
            </w:r>
          </w:p>
        </w:tc>
        <w:tc>
          <w:tcPr>
            <w:tcW w:w="1944" w:type="dxa"/>
            <w:noWrap/>
            <w:vAlign w:val="center"/>
          </w:tcPr>
          <w:p w14:paraId="08E445A9" w14:textId="25EE0C33" w:rsidR="006B048C" w:rsidRPr="00557367" w:rsidRDefault="006B048C" w:rsidP="00813421">
            <w:pPr>
              <w:spacing w:line="240" w:lineRule="auto"/>
              <w:ind w:firstLine="0"/>
              <w:rPr>
                <w:color w:val="000000"/>
                <w:sz w:val="22"/>
                <w:szCs w:val="22"/>
                <w:lang w:eastAsia="pt-PT"/>
              </w:rPr>
            </w:pPr>
            <w:r w:rsidRPr="00557367">
              <w:rPr>
                <w:sz w:val="22"/>
                <w:szCs w:val="22"/>
                <w:lang w:eastAsia="en-US"/>
              </w:rPr>
              <w:t xml:space="preserve">1.30 (1.11, </w:t>
            </w:r>
            <w:proofErr w:type="gramStart"/>
            <w:r w:rsidRPr="00557367">
              <w:rPr>
                <w:sz w:val="22"/>
                <w:szCs w:val="22"/>
                <w:lang w:eastAsia="en-US"/>
              </w:rPr>
              <w:t>1.49)</w:t>
            </w:r>
            <w:r w:rsidRPr="00557367">
              <w:rPr>
                <w:sz w:val="22"/>
                <w:szCs w:val="22"/>
                <w:vertAlign w:val="superscript"/>
                <w:lang w:eastAsia="en-US"/>
              </w:rPr>
              <w:t>*</w:t>
            </w:r>
            <w:proofErr w:type="gramEnd"/>
          </w:p>
        </w:tc>
        <w:tc>
          <w:tcPr>
            <w:tcW w:w="1945" w:type="dxa"/>
            <w:tcBorders>
              <w:left w:val="nil"/>
            </w:tcBorders>
            <w:noWrap/>
            <w:vAlign w:val="center"/>
          </w:tcPr>
          <w:p w14:paraId="08E445AA" w14:textId="733E4545" w:rsidR="006B048C" w:rsidRPr="00557367" w:rsidRDefault="006B048C" w:rsidP="00813421">
            <w:pPr>
              <w:spacing w:line="240" w:lineRule="auto"/>
              <w:ind w:firstLine="0"/>
              <w:rPr>
                <w:color w:val="000000"/>
                <w:sz w:val="22"/>
                <w:szCs w:val="22"/>
                <w:lang w:eastAsia="pt-PT"/>
              </w:rPr>
            </w:pPr>
            <w:r w:rsidRPr="00557367">
              <w:rPr>
                <w:sz w:val="22"/>
                <w:szCs w:val="22"/>
                <w:lang w:eastAsia="en-US"/>
              </w:rPr>
              <w:t xml:space="preserve">1.13 (0.99, </w:t>
            </w:r>
            <w:proofErr w:type="gramStart"/>
            <w:r w:rsidRPr="00557367">
              <w:rPr>
                <w:sz w:val="22"/>
                <w:szCs w:val="22"/>
                <w:lang w:eastAsia="en-US"/>
              </w:rPr>
              <w:t>1.27)</w:t>
            </w:r>
            <w:r w:rsidRPr="00557367">
              <w:rPr>
                <w:sz w:val="22"/>
                <w:szCs w:val="22"/>
                <w:vertAlign w:val="superscript"/>
                <w:lang w:eastAsia="en-US"/>
              </w:rPr>
              <w:t>+</w:t>
            </w:r>
            <w:proofErr w:type="gramEnd"/>
          </w:p>
        </w:tc>
      </w:tr>
      <w:tr w:rsidR="006B048C" w:rsidRPr="00557367" w14:paraId="08E445B0" w14:textId="77777777" w:rsidTr="00525543">
        <w:trPr>
          <w:trHeight w:val="302"/>
          <w:jc w:val="center"/>
        </w:trPr>
        <w:tc>
          <w:tcPr>
            <w:tcW w:w="2779" w:type="dxa"/>
            <w:noWrap/>
            <w:vAlign w:val="center"/>
            <w:hideMark/>
          </w:tcPr>
          <w:p w14:paraId="08E445AC" w14:textId="3F1CE4D9" w:rsidR="006B048C" w:rsidRPr="00557367" w:rsidRDefault="00852D60" w:rsidP="00813421">
            <w:pPr>
              <w:spacing w:line="240" w:lineRule="auto"/>
              <w:ind w:firstLine="0"/>
              <w:rPr>
                <w:color w:val="000000"/>
                <w:sz w:val="22"/>
                <w:szCs w:val="22"/>
                <w:lang w:eastAsia="pt-PT"/>
              </w:rPr>
            </w:pPr>
            <w:r w:rsidRPr="00557367">
              <w:rPr>
                <w:color w:val="000000"/>
                <w:sz w:val="22"/>
                <w:szCs w:val="22"/>
                <w:lang w:eastAsia="pt-PT"/>
              </w:rPr>
              <w:t>Local expenditures</w:t>
            </w:r>
          </w:p>
        </w:tc>
        <w:tc>
          <w:tcPr>
            <w:tcW w:w="1944" w:type="dxa"/>
            <w:noWrap/>
            <w:vAlign w:val="center"/>
          </w:tcPr>
          <w:p w14:paraId="08E445AD" w14:textId="0013BF5C" w:rsidR="006B048C" w:rsidRPr="00557367" w:rsidRDefault="006B048C" w:rsidP="00813421">
            <w:pPr>
              <w:spacing w:line="240" w:lineRule="auto"/>
              <w:ind w:firstLine="0"/>
              <w:rPr>
                <w:color w:val="000000"/>
                <w:sz w:val="22"/>
                <w:szCs w:val="22"/>
                <w:lang w:eastAsia="pt-PT"/>
              </w:rPr>
            </w:pPr>
            <w:r w:rsidRPr="00557367">
              <w:rPr>
                <w:sz w:val="22"/>
                <w:szCs w:val="22"/>
                <w:lang w:eastAsia="en-US"/>
              </w:rPr>
              <w:t>0.60 (-0.71, 1.90)</w:t>
            </w:r>
          </w:p>
        </w:tc>
        <w:tc>
          <w:tcPr>
            <w:tcW w:w="1944" w:type="dxa"/>
            <w:noWrap/>
            <w:vAlign w:val="center"/>
          </w:tcPr>
          <w:p w14:paraId="08E445AE" w14:textId="0580FA54" w:rsidR="006B048C" w:rsidRPr="00557367" w:rsidRDefault="006B048C" w:rsidP="00813421">
            <w:pPr>
              <w:spacing w:line="240" w:lineRule="auto"/>
              <w:ind w:firstLine="0"/>
              <w:rPr>
                <w:color w:val="000000"/>
                <w:sz w:val="22"/>
                <w:szCs w:val="22"/>
                <w:lang w:eastAsia="pt-PT"/>
              </w:rPr>
            </w:pPr>
            <w:r w:rsidRPr="00557367">
              <w:rPr>
                <w:sz w:val="22"/>
                <w:szCs w:val="22"/>
                <w:lang w:eastAsia="en-US"/>
              </w:rPr>
              <w:t>1.72 (0.76, 2.69)</w:t>
            </w:r>
          </w:p>
        </w:tc>
        <w:tc>
          <w:tcPr>
            <w:tcW w:w="1945" w:type="dxa"/>
            <w:tcBorders>
              <w:left w:val="nil"/>
            </w:tcBorders>
            <w:noWrap/>
            <w:vAlign w:val="center"/>
          </w:tcPr>
          <w:p w14:paraId="08E445AF" w14:textId="455D056C" w:rsidR="006B048C" w:rsidRPr="00557367" w:rsidRDefault="006B048C" w:rsidP="00813421">
            <w:pPr>
              <w:spacing w:line="240" w:lineRule="auto"/>
              <w:ind w:firstLine="0"/>
              <w:rPr>
                <w:color w:val="000000"/>
                <w:sz w:val="22"/>
                <w:szCs w:val="22"/>
                <w:lang w:eastAsia="pt-PT"/>
              </w:rPr>
            </w:pPr>
            <w:r w:rsidRPr="00557367">
              <w:rPr>
                <w:sz w:val="22"/>
                <w:szCs w:val="22"/>
                <w:lang w:eastAsia="en-US"/>
              </w:rPr>
              <w:t xml:space="preserve">1.95 (1.22, </w:t>
            </w:r>
            <w:proofErr w:type="gramStart"/>
            <w:r w:rsidRPr="00557367">
              <w:rPr>
                <w:sz w:val="22"/>
                <w:szCs w:val="22"/>
                <w:lang w:eastAsia="en-US"/>
              </w:rPr>
              <w:t>2.67)</w:t>
            </w:r>
            <w:r w:rsidRPr="00557367">
              <w:rPr>
                <w:sz w:val="22"/>
                <w:szCs w:val="22"/>
                <w:vertAlign w:val="superscript"/>
                <w:lang w:eastAsia="en-US"/>
              </w:rPr>
              <w:t>+</w:t>
            </w:r>
            <w:proofErr w:type="gramEnd"/>
          </w:p>
        </w:tc>
      </w:tr>
      <w:tr w:rsidR="00F10CBD" w:rsidRPr="00557367" w14:paraId="08E445B5" w14:textId="77777777" w:rsidTr="00525543">
        <w:trPr>
          <w:trHeight w:val="302"/>
          <w:jc w:val="center"/>
        </w:trPr>
        <w:tc>
          <w:tcPr>
            <w:tcW w:w="2779" w:type="dxa"/>
            <w:noWrap/>
            <w:vAlign w:val="center"/>
          </w:tcPr>
          <w:p w14:paraId="08E445B1" w14:textId="77777777" w:rsidR="00F10CBD" w:rsidRPr="00557367" w:rsidRDefault="00F10CBD" w:rsidP="00813421">
            <w:pPr>
              <w:spacing w:line="240" w:lineRule="auto"/>
              <w:ind w:firstLine="0"/>
              <w:rPr>
                <w:b/>
                <w:color w:val="000000"/>
                <w:sz w:val="22"/>
                <w:szCs w:val="22"/>
                <w:lang w:eastAsia="pt-PT"/>
              </w:rPr>
            </w:pPr>
          </w:p>
        </w:tc>
        <w:tc>
          <w:tcPr>
            <w:tcW w:w="1944" w:type="dxa"/>
            <w:noWrap/>
            <w:vAlign w:val="center"/>
          </w:tcPr>
          <w:p w14:paraId="08E445B2" w14:textId="77777777" w:rsidR="00F10CBD" w:rsidRPr="00557367" w:rsidRDefault="00F10CBD" w:rsidP="00813421">
            <w:pPr>
              <w:spacing w:line="240" w:lineRule="auto"/>
              <w:ind w:firstLine="0"/>
              <w:rPr>
                <w:color w:val="000000"/>
                <w:sz w:val="22"/>
                <w:szCs w:val="22"/>
                <w:lang w:eastAsia="pt-PT"/>
              </w:rPr>
            </w:pPr>
          </w:p>
        </w:tc>
        <w:tc>
          <w:tcPr>
            <w:tcW w:w="1944" w:type="dxa"/>
            <w:noWrap/>
            <w:vAlign w:val="center"/>
          </w:tcPr>
          <w:p w14:paraId="08E445B3" w14:textId="77777777" w:rsidR="00F10CBD" w:rsidRPr="00557367" w:rsidRDefault="00F10CBD" w:rsidP="00813421">
            <w:pPr>
              <w:spacing w:line="240" w:lineRule="auto"/>
              <w:ind w:firstLine="0"/>
              <w:rPr>
                <w:color w:val="000000"/>
                <w:sz w:val="22"/>
                <w:szCs w:val="22"/>
                <w:lang w:eastAsia="pt-PT"/>
              </w:rPr>
            </w:pPr>
          </w:p>
        </w:tc>
        <w:tc>
          <w:tcPr>
            <w:tcW w:w="1945" w:type="dxa"/>
            <w:tcBorders>
              <w:left w:val="nil"/>
            </w:tcBorders>
            <w:noWrap/>
            <w:vAlign w:val="center"/>
          </w:tcPr>
          <w:p w14:paraId="08E445B4" w14:textId="77777777" w:rsidR="00F10CBD" w:rsidRPr="00557367" w:rsidRDefault="00F10CBD" w:rsidP="00813421">
            <w:pPr>
              <w:spacing w:line="240" w:lineRule="auto"/>
              <w:ind w:firstLine="0"/>
              <w:rPr>
                <w:color w:val="000000"/>
                <w:sz w:val="22"/>
                <w:szCs w:val="22"/>
                <w:lang w:eastAsia="pt-PT"/>
              </w:rPr>
            </w:pPr>
          </w:p>
        </w:tc>
      </w:tr>
      <w:tr w:rsidR="00F10CBD" w:rsidRPr="00557367" w14:paraId="08E445BA" w14:textId="77777777" w:rsidTr="00525543">
        <w:trPr>
          <w:trHeight w:val="302"/>
          <w:jc w:val="center"/>
        </w:trPr>
        <w:tc>
          <w:tcPr>
            <w:tcW w:w="2779" w:type="dxa"/>
            <w:noWrap/>
            <w:vAlign w:val="center"/>
          </w:tcPr>
          <w:p w14:paraId="08E445B6" w14:textId="77777777" w:rsidR="00F10CBD" w:rsidRPr="00557367" w:rsidRDefault="00F10CBD" w:rsidP="00813421">
            <w:pPr>
              <w:spacing w:line="240" w:lineRule="auto"/>
              <w:ind w:firstLine="0"/>
              <w:rPr>
                <w:b/>
                <w:color w:val="000000"/>
                <w:sz w:val="22"/>
                <w:szCs w:val="22"/>
                <w:lang w:eastAsia="pt-PT"/>
              </w:rPr>
            </w:pPr>
            <w:r w:rsidRPr="00557367">
              <w:rPr>
                <w:b/>
                <w:color w:val="000000"/>
                <w:sz w:val="22"/>
                <w:szCs w:val="22"/>
                <w:lang w:eastAsia="pt-PT"/>
              </w:rPr>
              <w:t>Random effects</w:t>
            </w:r>
          </w:p>
        </w:tc>
        <w:tc>
          <w:tcPr>
            <w:tcW w:w="1944" w:type="dxa"/>
            <w:noWrap/>
            <w:vAlign w:val="center"/>
          </w:tcPr>
          <w:p w14:paraId="08E445B7" w14:textId="77777777" w:rsidR="00F10CBD" w:rsidRPr="00557367" w:rsidRDefault="00F10CBD" w:rsidP="00813421">
            <w:pPr>
              <w:spacing w:line="240" w:lineRule="auto"/>
              <w:ind w:firstLine="0"/>
              <w:rPr>
                <w:color w:val="000000"/>
                <w:sz w:val="22"/>
                <w:szCs w:val="22"/>
                <w:lang w:eastAsia="pt-PT"/>
              </w:rPr>
            </w:pPr>
          </w:p>
        </w:tc>
        <w:tc>
          <w:tcPr>
            <w:tcW w:w="1944" w:type="dxa"/>
            <w:noWrap/>
            <w:vAlign w:val="center"/>
          </w:tcPr>
          <w:p w14:paraId="08E445B8" w14:textId="77777777" w:rsidR="00F10CBD" w:rsidRPr="00557367" w:rsidRDefault="00F10CBD" w:rsidP="00813421">
            <w:pPr>
              <w:spacing w:line="240" w:lineRule="auto"/>
              <w:ind w:firstLine="0"/>
              <w:rPr>
                <w:color w:val="000000"/>
                <w:sz w:val="22"/>
                <w:szCs w:val="22"/>
                <w:lang w:eastAsia="pt-PT"/>
              </w:rPr>
            </w:pPr>
          </w:p>
        </w:tc>
        <w:tc>
          <w:tcPr>
            <w:tcW w:w="1945" w:type="dxa"/>
            <w:tcBorders>
              <w:left w:val="nil"/>
            </w:tcBorders>
            <w:noWrap/>
            <w:vAlign w:val="center"/>
          </w:tcPr>
          <w:p w14:paraId="08E445B9" w14:textId="77777777" w:rsidR="00F10CBD" w:rsidRPr="00557367" w:rsidRDefault="00F10CBD" w:rsidP="00813421">
            <w:pPr>
              <w:spacing w:line="240" w:lineRule="auto"/>
              <w:ind w:firstLine="0"/>
              <w:rPr>
                <w:color w:val="000000"/>
                <w:sz w:val="22"/>
                <w:szCs w:val="22"/>
                <w:lang w:eastAsia="pt-PT"/>
              </w:rPr>
            </w:pPr>
          </w:p>
        </w:tc>
      </w:tr>
      <w:tr w:rsidR="00F10CBD" w:rsidRPr="00557367" w14:paraId="08E445BF" w14:textId="77777777" w:rsidTr="00525543">
        <w:trPr>
          <w:trHeight w:val="302"/>
          <w:jc w:val="center"/>
        </w:trPr>
        <w:tc>
          <w:tcPr>
            <w:tcW w:w="2779" w:type="dxa"/>
            <w:noWrap/>
            <w:vAlign w:val="center"/>
          </w:tcPr>
          <w:p w14:paraId="08E445BB" w14:textId="77777777" w:rsidR="00F10CBD" w:rsidRPr="00557367" w:rsidRDefault="00F10CBD" w:rsidP="00813421">
            <w:pPr>
              <w:spacing w:line="240" w:lineRule="auto"/>
              <w:ind w:firstLine="0"/>
              <w:rPr>
                <w:color w:val="000000"/>
                <w:sz w:val="22"/>
                <w:szCs w:val="22"/>
                <w:lang w:eastAsia="pt-PT"/>
              </w:rPr>
            </w:pPr>
            <w:r w:rsidRPr="00557367">
              <w:rPr>
                <w:color w:val="000000"/>
                <w:sz w:val="22"/>
                <w:szCs w:val="22"/>
                <w:lang w:eastAsia="pt-PT"/>
              </w:rPr>
              <w:t>Standard deviation of intercept</w:t>
            </w:r>
          </w:p>
        </w:tc>
        <w:tc>
          <w:tcPr>
            <w:tcW w:w="1944" w:type="dxa"/>
            <w:noWrap/>
            <w:vAlign w:val="center"/>
          </w:tcPr>
          <w:p w14:paraId="08E445BC" w14:textId="635D51EB" w:rsidR="00F10CBD" w:rsidRPr="00557367" w:rsidRDefault="00F10CBD" w:rsidP="00813421">
            <w:pPr>
              <w:spacing w:line="240" w:lineRule="auto"/>
              <w:ind w:firstLine="0"/>
              <w:rPr>
                <w:color w:val="000000"/>
                <w:sz w:val="22"/>
                <w:szCs w:val="22"/>
                <w:lang w:eastAsia="pt-PT"/>
              </w:rPr>
            </w:pPr>
            <w:r w:rsidRPr="00557367">
              <w:rPr>
                <w:color w:val="000000"/>
                <w:sz w:val="22"/>
                <w:szCs w:val="22"/>
                <w:lang w:eastAsia="pt-PT"/>
              </w:rPr>
              <w:t>0.</w:t>
            </w:r>
            <w:r w:rsidR="00852D60" w:rsidRPr="00557367">
              <w:rPr>
                <w:color w:val="000000"/>
                <w:sz w:val="22"/>
                <w:szCs w:val="22"/>
                <w:lang w:eastAsia="pt-PT"/>
              </w:rPr>
              <w:t>49</w:t>
            </w:r>
          </w:p>
        </w:tc>
        <w:tc>
          <w:tcPr>
            <w:tcW w:w="1944" w:type="dxa"/>
            <w:noWrap/>
            <w:vAlign w:val="center"/>
          </w:tcPr>
          <w:p w14:paraId="08E445BD" w14:textId="5BFCA953" w:rsidR="00F10CBD" w:rsidRPr="00557367" w:rsidRDefault="00F10CBD" w:rsidP="00813421">
            <w:pPr>
              <w:spacing w:line="240" w:lineRule="auto"/>
              <w:ind w:firstLine="0"/>
              <w:rPr>
                <w:color w:val="000000"/>
                <w:sz w:val="22"/>
                <w:szCs w:val="22"/>
                <w:lang w:eastAsia="pt-PT"/>
              </w:rPr>
            </w:pPr>
            <w:r w:rsidRPr="00557367">
              <w:rPr>
                <w:color w:val="000000"/>
                <w:sz w:val="22"/>
                <w:szCs w:val="22"/>
                <w:lang w:eastAsia="pt-PT"/>
              </w:rPr>
              <w:t>0.35</w:t>
            </w:r>
          </w:p>
        </w:tc>
        <w:tc>
          <w:tcPr>
            <w:tcW w:w="1945" w:type="dxa"/>
            <w:tcBorders>
              <w:left w:val="nil"/>
            </w:tcBorders>
            <w:noWrap/>
            <w:vAlign w:val="center"/>
          </w:tcPr>
          <w:p w14:paraId="08E445BE" w14:textId="77777777" w:rsidR="00F10CBD" w:rsidRPr="00557367" w:rsidRDefault="00F10CBD" w:rsidP="00813421">
            <w:pPr>
              <w:spacing w:line="240" w:lineRule="auto"/>
              <w:ind w:firstLine="0"/>
              <w:rPr>
                <w:color w:val="000000"/>
                <w:sz w:val="22"/>
                <w:szCs w:val="22"/>
                <w:lang w:eastAsia="pt-PT"/>
              </w:rPr>
            </w:pPr>
            <w:r w:rsidRPr="00557367">
              <w:rPr>
                <w:color w:val="000000"/>
                <w:sz w:val="22"/>
                <w:szCs w:val="22"/>
                <w:lang w:eastAsia="pt-PT"/>
              </w:rPr>
              <w:t>0.25</w:t>
            </w:r>
          </w:p>
        </w:tc>
      </w:tr>
      <w:tr w:rsidR="00F10CBD" w:rsidRPr="00557367" w14:paraId="08E445C4" w14:textId="77777777" w:rsidTr="00525543">
        <w:trPr>
          <w:trHeight w:val="302"/>
          <w:jc w:val="center"/>
        </w:trPr>
        <w:tc>
          <w:tcPr>
            <w:tcW w:w="2779" w:type="dxa"/>
            <w:noWrap/>
            <w:vAlign w:val="center"/>
          </w:tcPr>
          <w:p w14:paraId="08E445C0" w14:textId="77777777" w:rsidR="00F10CBD" w:rsidRPr="00557367" w:rsidRDefault="00F10CBD" w:rsidP="00813421">
            <w:pPr>
              <w:spacing w:line="240" w:lineRule="auto"/>
              <w:ind w:firstLine="0"/>
              <w:rPr>
                <w:b/>
                <w:color w:val="000000"/>
                <w:sz w:val="22"/>
                <w:szCs w:val="22"/>
                <w:lang w:eastAsia="pt-PT"/>
              </w:rPr>
            </w:pPr>
          </w:p>
        </w:tc>
        <w:tc>
          <w:tcPr>
            <w:tcW w:w="1944" w:type="dxa"/>
            <w:noWrap/>
            <w:vAlign w:val="center"/>
          </w:tcPr>
          <w:p w14:paraId="08E445C1" w14:textId="77777777" w:rsidR="00F10CBD" w:rsidRPr="00557367" w:rsidRDefault="00F10CBD" w:rsidP="00813421">
            <w:pPr>
              <w:spacing w:line="240" w:lineRule="auto"/>
              <w:ind w:firstLine="0"/>
              <w:rPr>
                <w:color w:val="000000"/>
                <w:sz w:val="22"/>
                <w:szCs w:val="22"/>
                <w:lang w:eastAsia="pt-PT"/>
              </w:rPr>
            </w:pPr>
          </w:p>
        </w:tc>
        <w:tc>
          <w:tcPr>
            <w:tcW w:w="1944" w:type="dxa"/>
            <w:noWrap/>
            <w:vAlign w:val="center"/>
          </w:tcPr>
          <w:p w14:paraId="08E445C2" w14:textId="77777777" w:rsidR="00F10CBD" w:rsidRPr="00557367" w:rsidRDefault="00F10CBD" w:rsidP="00813421">
            <w:pPr>
              <w:spacing w:line="240" w:lineRule="auto"/>
              <w:ind w:firstLine="0"/>
              <w:rPr>
                <w:color w:val="000000"/>
                <w:sz w:val="22"/>
                <w:szCs w:val="22"/>
                <w:lang w:eastAsia="pt-PT"/>
              </w:rPr>
            </w:pPr>
          </w:p>
        </w:tc>
        <w:tc>
          <w:tcPr>
            <w:tcW w:w="1945" w:type="dxa"/>
            <w:tcBorders>
              <w:left w:val="nil"/>
            </w:tcBorders>
            <w:noWrap/>
            <w:vAlign w:val="center"/>
          </w:tcPr>
          <w:p w14:paraId="08E445C3" w14:textId="77777777" w:rsidR="00F10CBD" w:rsidRPr="00557367" w:rsidRDefault="00F10CBD" w:rsidP="00813421">
            <w:pPr>
              <w:spacing w:line="240" w:lineRule="auto"/>
              <w:ind w:firstLine="0"/>
              <w:rPr>
                <w:color w:val="000000"/>
                <w:sz w:val="22"/>
                <w:szCs w:val="22"/>
                <w:lang w:eastAsia="pt-PT"/>
              </w:rPr>
            </w:pPr>
          </w:p>
        </w:tc>
      </w:tr>
      <w:tr w:rsidR="006B048C" w:rsidRPr="00557367" w14:paraId="08E445C9" w14:textId="77777777" w:rsidTr="00525543">
        <w:trPr>
          <w:trHeight w:val="302"/>
          <w:jc w:val="center"/>
        </w:trPr>
        <w:tc>
          <w:tcPr>
            <w:tcW w:w="2779" w:type="dxa"/>
            <w:noWrap/>
            <w:vAlign w:val="center"/>
          </w:tcPr>
          <w:p w14:paraId="08E445C5" w14:textId="77777777" w:rsidR="006B048C" w:rsidRPr="00557367" w:rsidRDefault="006B048C" w:rsidP="00813421">
            <w:pPr>
              <w:spacing w:line="240" w:lineRule="auto"/>
              <w:ind w:firstLine="0"/>
              <w:rPr>
                <w:b/>
                <w:color w:val="000000"/>
                <w:sz w:val="22"/>
                <w:szCs w:val="22"/>
                <w:lang w:eastAsia="pt-PT"/>
              </w:rPr>
            </w:pPr>
            <w:r w:rsidRPr="00557367">
              <w:rPr>
                <w:b/>
                <w:color w:val="000000"/>
                <w:sz w:val="22"/>
                <w:szCs w:val="22"/>
                <w:lang w:eastAsia="pt-PT"/>
              </w:rPr>
              <w:t>N (individuals)</w:t>
            </w:r>
          </w:p>
        </w:tc>
        <w:tc>
          <w:tcPr>
            <w:tcW w:w="1944" w:type="dxa"/>
            <w:noWrap/>
            <w:vAlign w:val="center"/>
          </w:tcPr>
          <w:p w14:paraId="08E445C6" w14:textId="7F5DE5F8" w:rsidR="006B048C" w:rsidRPr="00557367" w:rsidRDefault="006B048C" w:rsidP="00813421">
            <w:pPr>
              <w:spacing w:line="240" w:lineRule="auto"/>
              <w:ind w:firstLine="0"/>
              <w:rPr>
                <w:color w:val="000000"/>
                <w:sz w:val="22"/>
                <w:szCs w:val="22"/>
                <w:lang w:eastAsia="pt-PT"/>
              </w:rPr>
            </w:pPr>
            <w:r w:rsidRPr="00557367">
              <w:rPr>
                <w:sz w:val="22"/>
                <w:szCs w:val="22"/>
                <w:lang w:eastAsia="en-US"/>
              </w:rPr>
              <w:t>20,889</w:t>
            </w:r>
          </w:p>
        </w:tc>
        <w:tc>
          <w:tcPr>
            <w:tcW w:w="1944" w:type="dxa"/>
            <w:noWrap/>
            <w:vAlign w:val="center"/>
          </w:tcPr>
          <w:p w14:paraId="08E445C7" w14:textId="1B714EB4" w:rsidR="006B048C" w:rsidRPr="00557367" w:rsidRDefault="006B048C" w:rsidP="00813421">
            <w:pPr>
              <w:spacing w:line="240" w:lineRule="auto"/>
              <w:ind w:firstLine="0"/>
              <w:rPr>
                <w:color w:val="000000"/>
                <w:sz w:val="22"/>
                <w:szCs w:val="22"/>
                <w:lang w:eastAsia="pt-PT"/>
              </w:rPr>
            </w:pPr>
            <w:r w:rsidRPr="00557367">
              <w:rPr>
                <w:sz w:val="22"/>
                <w:szCs w:val="22"/>
                <w:lang w:eastAsia="en-US"/>
              </w:rPr>
              <w:t>19,430</w:t>
            </w:r>
          </w:p>
        </w:tc>
        <w:tc>
          <w:tcPr>
            <w:tcW w:w="1945" w:type="dxa"/>
            <w:tcBorders>
              <w:left w:val="nil"/>
            </w:tcBorders>
            <w:noWrap/>
            <w:vAlign w:val="center"/>
          </w:tcPr>
          <w:p w14:paraId="08E445C8" w14:textId="450FBDC1" w:rsidR="006B048C" w:rsidRPr="00557367" w:rsidRDefault="006B048C" w:rsidP="00813421">
            <w:pPr>
              <w:spacing w:line="240" w:lineRule="auto"/>
              <w:ind w:firstLine="0"/>
              <w:rPr>
                <w:color w:val="000000"/>
                <w:sz w:val="22"/>
                <w:szCs w:val="22"/>
                <w:lang w:eastAsia="pt-PT"/>
              </w:rPr>
            </w:pPr>
            <w:r w:rsidRPr="00557367">
              <w:rPr>
                <w:sz w:val="22"/>
                <w:szCs w:val="22"/>
                <w:lang w:eastAsia="en-US"/>
              </w:rPr>
              <w:t>19,970</w:t>
            </w:r>
          </w:p>
        </w:tc>
      </w:tr>
      <w:tr w:rsidR="006B048C" w:rsidRPr="00557367" w14:paraId="08E445CE" w14:textId="77777777" w:rsidTr="00525543">
        <w:trPr>
          <w:trHeight w:val="302"/>
          <w:jc w:val="center"/>
        </w:trPr>
        <w:tc>
          <w:tcPr>
            <w:tcW w:w="2779" w:type="dxa"/>
            <w:noWrap/>
            <w:vAlign w:val="center"/>
          </w:tcPr>
          <w:p w14:paraId="08E445CA" w14:textId="77777777" w:rsidR="006B048C" w:rsidRPr="00557367" w:rsidRDefault="006B048C" w:rsidP="00813421">
            <w:pPr>
              <w:spacing w:line="240" w:lineRule="auto"/>
              <w:ind w:firstLine="0"/>
              <w:rPr>
                <w:b/>
                <w:color w:val="000000"/>
                <w:sz w:val="22"/>
                <w:szCs w:val="22"/>
                <w:lang w:eastAsia="pt-PT"/>
              </w:rPr>
            </w:pPr>
            <w:r w:rsidRPr="00557367">
              <w:rPr>
                <w:b/>
                <w:color w:val="000000"/>
                <w:sz w:val="22"/>
                <w:szCs w:val="22"/>
                <w:lang w:eastAsia="pt-PT"/>
              </w:rPr>
              <w:t>Log likelihood</w:t>
            </w:r>
          </w:p>
        </w:tc>
        <w:tc>
          <w:tcPr>
            <w:tcW w:w="1944" w:type="dxa"/>
            <w:noWrap/>
            <w:vAlign w:val="center"/>
          </w:tcPr>
          <w:p w14:paraId="08E445CB" w14:textId="076C3939" w:rsidR="006B048C" w:rsidRPr="00557367" w:rsidRDefault="006B048C" w:rsidP="00813421">
            <w:pPr>
              <w:spacing w:line="240" w:lineRule="auto"/>
              <w:ind w:firstLine="0"/>
              <w:rPr>
                <w:color w:val="000000"/>
                <w:sz w:val="22"/>
                <w:szCs w:val="22"/>
                <w:lang w:eastAsia="pt-PT"/>
              </w:rPr>
            </w:pPr>
            <w:r w:rsidRPr="00557367">
              <w:rPr>
                <w:sz w:val="22"/>
                <w:szCs w:val="22"/>
                <w:lang w:eastAsia="en-US"/>
              </w:rPr>
              <w:t>-10,193.88</w:t>
            </w:r>
          </w:p>
        </w:tc>
        <w:tc>
          <w:tcPr>
            <w:tcW w:w="1944" w:type="dxa"/>
            <w:noWrap/>
            <w:vAlign w:val="center"/>
          </w:tcPr>
          <w:p w14:paraId="08E445CC" w14:textId="588ED4F2" w:rsidR="006B048C" w:rsidRPr="00557367" w:rsidRDefault="006B048C" w:rsidP="00813421">
            <w:pPr>
              <w:spacing w:line="240" w:lineRule="auto"/>
              <w:ind w:firstLine="0"/>
              <w:rPr>
                <w:color w:val="000000"/>
                <w:sz w:val="22"/>
                <w:szCs w:val="22"/>
                <w:lang w:eastAsia="pt-PT"/>
              </w:rPr>
            </w:pPr>
            <w:r w:rsidRPr="00557367">
              <w:rPr>
                <w:sz w:val="22"/>
                <w:szCs w:val="22"/>
                <w:lang w:eastAsia="en-US"/>
              </w:rPr>
              <w:t>-9,024.86</w:t>
            </w:r>
          </w:p>
        </w:tc>
        <w:tc>
          <w:tcPr>
            <w:tcW w:w="1945" w:type="dxa"/>
            <w:tcBorders>
              <w:left w:val="nil"/>
            </w:tcBorders>
            <w:noWrap/>
            <w:vAlign w:val="center"/>
          </w:tcPr>
          <w:p w14:paraId="08E445CD" w14:textId="6E8D088C" w:rsidR="006B048C" w:rsidRPr="00557367" w:rsidRDefault="006B048C" w:rsidP="00813421">
            <w:pPr>
              <w:spacing w:line="240" w:lineRule="auto"/>
              <w:ind w:firstLine="0"/>
              <w:rPr>
                <w:color w:val="000000"/>
                <w:sz w:val="22"/>
                <w:szCs w:val="22"/>
                <w:lang w:eastAsia="pt-PT"/>
              </w:rPr>
            </w:pPr>
            <w:r w:rsidRPr="00557367">
              <w:rPr>
                <w:sz w:val="22"/>
                <w:szCs w:val="22"/>
                <w:lang w:eastAsia="en-US"/>
              </w:rPr>
              <w:t>-9,990.74</w:t>
            </w:r>
          </w:p>
        </w:tc>
      </w:tr>
      <w:tr w:rsidR="006B048C" w:rsidRPr="00557367" w14:paraId="08E445D3" w14:textId="77777777" w:rsidTr="00525543">
        <w:trPr>
          <w:trHeight w:val="302"/>
          <w:jc w:val="center"/>
        </w:trPr>
        <w:tc>
          <w:tcPr>
            <w:tcW w:w="2779" w:type="dxa"/>
            <w:tcBorders>
              <w:bottom w:val="single" w:sz="4" w:space="0" w:color="auto"/>
            </w:tcBorders>
            <w:noWrap/>
            <w:vAlign w:val="center"/>
          </w:tcPr>
          <w:p w14:paraId="08E445CF" w14:textId="77777777" w:rsidR="006B048C" w:rsidRPr="00557367" w:rsidRDefault="006B048C" w:rsidP="00813421">
            <w:pPr>
              <w:spacing w:line="240" w:lineRule="auto"/>
              <w:ind w:firstLine="0"/>
              <w:rPr>
                <w:b/>
                <w:color w:val="000000"/>
                <w:sz w:val="22"/>
                <w:szCs w:val="22"/>
                <w:lang w:eastAsia="pt-PT"/>
              </w:rPr>
            </w:pPr>
            <w:r w:rsidRPr="00557367">
              <w:rPr>
                <w:b/>
                <w:color w:val="000000"/>
                <w:sz w:val="22"/>
                <w:szCs w:val="22"/>
                <w:lang w:eastAsia="pt-PT"/>
              </w:rPr>
              <w:t>Akaike information criterion</w:t>
            </w:r>
          </w:p>
        </w:tc>
        <w:tc>
          <w:tcPr>
            <w:tcW w:w="1944" w:type="dxa"/>
            <w:tcBorders>
              <w:bottom w:val="single" w:sz="4" w:space="0" w:color="auto"/>
            </w:tcBorders>
            <w:noWrap/>
            <w:vAlign w:val="center"/>
          </w:tcPr>
          <w:p w14:paraId="08E445D0" w14:textId="6466B8E7" w:rsidR="006B048C" w:rsidRPr="00557367" w:rsidRDefault="006B048C" w:rsidP="00813421">
            <w:pPr>
              <w:spacing w:line="240" w:lineRule="auto"/>
              <w:ind w:firstLine="0"/>
              <w:rPr>
                <w:color w:val="000000"/>
                <w:sz w:val="22"/>
                <w:szCs w:val="22"/>
                <w:lang w:eastAsia="pt-PT"/>
              </w:rPr>
            </w:pPr>
            <w:r w:rsidRPr="00557367">
              <w:rPr>
                <w:sz w:val="22"/>
                <w:szCs w:val="22"/>
                <w:lang w:eastAsia="en-US"/>
              </w:rPr>
              <w:t>20,423.76</w:t>
            </w:r>
          </w:p>
        </w:tc>
        <w:tc>
          <w:tcPr>
            <w:tcW w:w="1944" w:type="dxa"/>
            <w:tcBorders>
              <w:bottom w:val="single" w:sz="4" w:space="0" w:color="auto"/>
            </w:tcBorders>
            <w:noWrap/>
            <w:vAlign w:val="center"/>
          </w:tcPr>
          <w:p w14:paraId="08E445D1" w14:textId="7DF48494" w:rsidR="006B048C" w:rsidRPr="00557367" w:rsidRDefault="006B048C" w:rsidP="00813421">
            <w:pPr>
              <w:spacing w:line="240" w:lineRule="auto"/>
              <w:ind w:firstLine="0"/>
              <w:rPr>
                <w:color w:val="000000"/>
                <w:sz w:val="22"/>
                <w:szCs w:val="22"/>
                <w:lang w:eastAsia="pt-PT"/>
              </w:rPr>
            </w:pPr>
            <w:r w:rsidRPr="00557367">
              <w:rPr>
                <w:sz w:val="22"/>
                <w:szCs w:val="22"/>
                <w:lang w:eastAsia="en-US"/>
              </w:rPr>
              <w:t>18,085.72</w:t>
            </w:r>
          </w:p>
        </w:tc>
        <w:tc>
          <w:tcPr>
            <w:tcW w:w="1945" w:type="dxa"/>
            <w:tcBorders>
              <w:left w:val="nil"/>
              <w:bottom w:val="single" w:sz="4" w:space="0" w:color="auto"/>
            </w:tcBorders>
            <w:noWrap/>
            <w:vAlign w:val="center"/>
          </w:tcPr>
          <w:p w14:paraId="08E445D2" w14:textId="1602D9AC" w:rsidR="006B048C" w:rsidRPr="00557367" w:rsidRDefault="006B048C" w:rsidP="00813421">
            <w:pPr>
              <w:spacing w:line="240" w:lineRule="auto"/>
              <w:ind w:firstLine="0"/>
              <w:rPr>
                <w:color w:val="000000"/>
                <w:sz w:val="22"/>
                <w:szCs w:val="22"/>
                <w:lang w:eastAsia="pt-PT"/>
              </w:rPr>
            </w:pPr>
            <w:r w:rsidRPr="00557367">
              <w:rPr>
                <w:sz w:val="22"/>
                <w:szCs w:val="22"/>
                <w:lang w:eastAsia="en-US"/>
              </w:rPr>
              <w:t>20,017.48</w:t>
            </w:r>
          </w:p>
        </w:tc>
      </w:tr>
    </w:tbl>
    <w:p w14:paraId="6B15CA58" w14:textId="77777777" w:rsidR="00E76E04" w:rsidRPr="00557367" w:rsidRDefault="00E76E04" w:rsidP="00813421">
      <w:pPr>
        <w:ind w:firstLine="0"/>
        <w:rPr>
          <w:color w:val="000000"/>
          <w:sz w:val="20"/>
          <w:szCs w:val="20"/>
          <w:lang w:eastAsia="pt-PT"/>
        </w:rPr>
      </w:pPr>
      <w:r w:rsidRPr="00557367">
        <w:rPr>
          <w:color w:val="000000"/>
          <w:sz w:val="20"/>
          <w:szCs w:val="20"/>
          <w:lang w:eastAsia="pt-PT"/>
        </w:rPr>
        <w:t xml:space="preserve">Note to Table 4: </w:t>
      </w:r>
    </w:p>
    <w:p w14:paraId="3E007E04" w14:textId="67526353" w:rsidR="00E76E04" w:rsidRPr="00557367" w:rsidRDefault="00E76E04" w:rsidP="00813421">
      <w:pPr>
        <w:ind w:firstLine="0"/>
        <w:rPr>
          <w:color w:val="000000"/>
          <w:sz w:val="20"/>
          <w:szCs w:val="20"/>
          <w:lang w:eastAsia="pt-PT"/>
        </w:rPr>
      </w:pPr>
      <w:r w:rsidRPr="00557367">
        <w:rPr>
          <w:color w:val="000000"/>
          <w:sz w:val="20"/>
          <w:szCs w:val="20"/>
          <w:lang w:eastAsia="pt-PT"/>
        </w:rPr>
        <w:t xml:space="preserve">Each cell presents the odds ratio (with lower and upper limit of a 95% confidence interval in brackets) effect of a one-unit change in the value of each </w:t>
      </w:r>
      <w:r w:rsidR="00B94956" w:rsidRPr="00557367">
        <w:rPr>
          <w:color w:val="000000"/>
          <w:sz w:val="20"/>
          <w:szCs w:val="20"/>
          <w:lang w:eastAsia="pt-PT"/>
        </w:rPr>
        <w:t>independent variable</w:t>
      </w:r>
      <w:r w:rsidRPr="00557367">
        <w:rPr>
          <w:color w:val="000000"/>
          <w:sz w:val="20"/>
          <w:szCs w:val="20"/>
          <w:lang w:eastAsia="pt-PT"/>
        </w:rPr>
        <w:t xml:space="preserve"> in moving from the baseline outcome E (“equally engaged”) towards each alternative outcome within the three contrasts: D (“disengaged at both levels of politics”), N (“discusses more national politics”), L (“discusses more local politics”). </w:t>
      </w:r>
    </w:p>
    <w:p w14:paraId="527EFC38" w14:textId="74DC5F8F" w:rsidR="0066688C" w:rsidRPr="00557367" w:rsidRDefault="00E76E04" w:rsidP="00813421">
      <w:pPr>
        <w:ind w:firstLine="0"/>
      </w:pPr>
      <w:r w:rsidRPr="00557367">
        <w:rPr>
          <w:color w:val="000000"/>
          <w:sz w:val="20"/>
          <w:szCs w:val="20"/>
          <w:lang w:eastAsia="pt-PT"/>
        </w:rPr>
        <w:t xml:space="preserve">P value: </w:t>
      </w:r>
      <w:r w:rsidRPr="00557367">
        <w:rPr>
          <w:color w:val="000000"/>
          <w:sz w:val="20"/>
          <w:szCs w:val="20"/>
          <w:vertAlign w:val="superscript"/>
          <w:lang w:eastAsia="pt-PT"/>
        </w:rPr>
        <w:t>+</w:t>
      </w:r>
      <w:r w:rsidRPr="00557367">
        <w:rPr>
          <w:color w:val="000000"/>
          <w:sz w:val="20"/>
          <w:szCs w:val="20"/>
          <w:lang w:eastAsia="pt-PT"/>
        </w:rPr>
        <w:t xml:space="preserve">&lt; 0.05; </w:t>
      </w:r>
      <w:r w:rsidR="00582B45" w:rsidRPr="00557367">
        <w:rPr>
          <w:sz w:val="22"/>
          <w:szCs w:val="22"/>
          <w:vertAlign w:val="superscript"/>
          <w:lang w:eastAsia="en-US"/>
        </w:rPr>
        <w:t>‡</w:t>
      </w:r>
      <w:r w:rsidRPr="00557367">
        <w:rPr>
          <w:color w:val="000000"/>
          <w:sz w:val="20"/>
          <w:szCs w:val="20"/>
          <w:lang w:eastAsia="pt-PT"/>
        </w:rPr>
        <w:t xml:space="preserve">&lt; 0.01; </w:t>
      </w:r>
      <w:r w:rsidRPr="00557367">
        <w:rPr>
          <w:color w:val="000000"/>
          <w:sz w:val="20"/>
          <w:szCs w:val="20"/>
          <w:vertAlign w:val="superscript"/>
          <w:lang w:eastAsia="pt-PT"/>
        </w:rPr>
        <w:t>*</w:t>
      </w:r>
      <w:r w:rsidRPr="00557367">
        <w:rPr>
          <w:color w:val="000000"/>
          <w:sz w:val="20"/>
          <w:szCs w:val="20"/>
          <w:lang w:eastAsia="pt-PT"/>
        </w:rPr>
        <w:t>&lt;0.001</w:t>
      </w:r>
      <w:r w:rsidR="0056753A" w:rsidRPr="00557367">
        <w:br w:type="page"/>
      </w:r>
    </w:p>
    <w:p w14:paraId="08E445D6" w14:textId="24948D57" w:rsidR="00F10CBD" w:rsidRPr="00557367" w:rsidRDefault="00F10CBD" w:rsidP="00813421">
      <w:pPr>
        <w:spacing w:after="160" w:line="259" w:lineRule="auto"/>
        <w:ind w:firstLine="0"/>
        <w:rPr>
          <w:b/>
          <w:sz w:val="22"/>
        </w:rPr>
      </w:pPr>
      <w:r w:rsidRPr="00557367">
        <w:rPr>
          <w:b/>
          <w:sz w:val="22"/>
        </w:rPr>
        <w:lastRenderedPageBreak/>
        <w:t>Figure 2. Predicted probabilit</w:t>
      </w:r>
      <w:r w:rsidR="00024A38" w:rsidRPr="00557367">
        <w:rPr>
          <w:b/>
          <w:sz w:val="22"/>
        </w:rPr>
        <w:t>ies</w:t>
      </w:r>
      <w:r w:rsidRPr="00557367">
        <w:rPr>
          <w:b/>
          <w:sz w:val="22"/>
        </w:rPr>
        <w:t xml:space="preserve"> of alternative outcomes by </w:t>
      </w:r>
      <w:r w:rsidR="00CC18AA" w:rsidRPr="00557367">
        <w:rPr>
          <w:b/>
          <w:sz w:val="22"/>
        </w:rPr>
        <w:t xml:space="preserve">selected </w:t>
      </w:r>
      <w:r w:rsidRPr="00557367">
        <w:rPr>
          <w:b/>
          <w:sz w:val="22"/>
        </w:rPr>
        <w:t xml:space="preserve">values </w:t>
      </w:r>
    </w:p>
    <w:p w14:paraId="08E445D9" w14:textId="7B85B95C" w:rsidR="00F16B0A" w:rsidRPr="00557367" w:rsidRDefault="005928B2" w:rsidP="00813421">
      <w:pPr>
        <w:spacing w:after="160" w:line="259" w:lineRule="auto"/>
        <w:ind w:left="-142" w:hanging="567"/>
        <w:rPr>
          <w:sz w:val="20"/>
          <w:lang w:eastAsia="pt-PT"/>
        </w:rPr>
      </w:pPr>
      <w:r w:rsidRPr="00557367">
        <w:rPr>
          <w:b/>
          <w:noProof/>
          <w:sz w:val="22"/>
          <w:lang w:val="pt-PT" w:eastAsia="pt-PT"/>
        </w:rPr>
        <w:drawing>
          <wp:inline distT="0" distB="0" distL="0" distR="0" wp14:anchorId="29222776" wp14:editId="06738060">
            <wp:extent cx="6480000" cy="79735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really.all.eff.gen.png"/>
                    <pic:cNvPicPr/>
                  </pic:nvPicPr>
                  <pic:blipFill>
                    <a:blip r:embed="rId9">
                      <a:extLst>
                        <a:ext uri="{28A0092B-C50C-407E-A947-70E740481C1C}">
                          <a14:useLocalDpi xmlns:a14="http://schemas.microsoft.com/office/drawing/2010/main" val="0"/>
                        </a:ext>
                      </a:extLst>
                    </a:blip>
                    <a:stretch>
                      <a:fillRect/>
                    </a:stretch>
                  </pic:blipFill>
                  <pic:spPr>
                    <a:xfrm>
                      <a:off x="0" y="0"/>
                      <a:ext cx="6480000" cy="7973509"/>
                    </a:xfrm>
                    <a:prstGeom prst="rect">
                      <a:avLst/>
                    </a:prstGeom>
                  </pic:spPr>
                </pic:pic>
              </a:graphicData>
            </a:graphic>
          </wp:inline>
        </w:drawing>
      </w:r>
      <w:r w:rsidR="0056753A" w:rsidRPr="00557367">
        <w:rPr>
          <w:b/>
          <w:sz w:val="20"/>
          <w:lang w:eastAsia="pt-PT"/>
        </w:rPr>
        <w:t>Note</w:t>
      </w:r>
      <w:r w:rsidR="00CC18AA" w:rsidRPr="00557367">
        <w:rPr>
          <w:b/>
          <w:sz w:val="20"/>
          <w:lang w:eastAsia="pt-PT"/>
        </w:rPr>
        <w:t xml:space="preserve">: </w:t>
      </w:r>
      <w:r w:rsidR="00CC18AA" w:rsidRPr="00557367">
        <w:rPr>
          <w:sz w:val="20"/>
          <w:lang w:eastAsia="pt-PT"/>
        </w:rPr>
        <w:t>Each</w:t>
      </w:r>
      <w:r w:rsidR="00CC18AA" w:rsidRPr="00557367">
        <w:rPr>
          <w:b/>
          <w:sz w:val="20"/>
          <w:lang w:eastAsia="pt-PT"/>
        </w:rPr>
        <w:t xml:space="preserve"> </w:t>
      </w:r>
      <w:r w:rsidR="00CC18AA" w:rsidRPr="00557367">
        <w:rPr>
          <w:sz w:val="20"/>
          <w:lang w:eastAsia="pt-PT"/>
        </w:rPr>
        <w:t>probability value</w:t>
      </w:r>
      <w:r w:rsidR="00C249B6" w:rsidRPr="00557367">
        <w:rPr>
          <w:sz w:val="20"/>
          <w:lang w:eastAsia="pt-PT"/>
        </w:rPr>
        <w:t xml:space="preserve"> as extracted from the logit model was multiplied by the proportion of respondents in each contrast over the total number of respondents analysed. This procedure ensures that the sum of the predicted probabilities of the four outcomes adds up to 1.</w:t>
      </w:r>
    </w:p>
    <w:p w14:paraId="5424F050" w14:textId="16030A41" w:rsidR="00F16B0A" w:rsidRPr="00557367" w:rsidRDefault="00F16B0A" w:rsidP="00813421">
      <w:pPr>
        <w:spacing w:after="160" w:line="259" w:lineRule="auto"/>
        <w:ind w:firstLine="0"/>
        <w:rPr>
          <w:sz w:val="20"/>
          <w:lang w:eastAsia="pt-PT"/>
        </w:rPr>
      </w:pPr>
    </w:p>
    <w:p w14:paraId="2E1219CF" w14:textId="1650349A" w:rsidR="0034356A" w:rsidRDefault="009E79DE" w:rsidP="00813421">
      <w:pPr>
        <w:spacing w:after="160" w:line="259" w:lineRule="auto"/>
        <w:ind w:left="-142" w:firstLine="0"/>
        <w:rPr>
          <w:b/>
          <w:sz w:val="22"/>
        </w:rPr>
      </w:pPr>
      <w:r>
        <w:rPr>
          <w:b/>
          <w:sz w:val="22"/>
        </w:rPr>
        <w:t>Online appendix</w:t>
      </w:r>
    </w:p>
    <w:p w14:paraId="4FFB6CB2" w14:textId="51479A46" w:rsidR="0056753A" w:rsidRPr="00557367" w:rsidRDefault="009E79DE" w:rsidP="00813421">
      <w:pPr>
        <w:spacing w:after="160" w:line="259" w:lineRule="auto"/>
        <w:ind w:left="-142" w:firstLine="0"/>
        <w:rPr>
          <w:b/>
          <w:sz w:val="22"/>
        </w:rPr>
      </w:pPr>
      <w:r>
        <w:rPr>
          <w:b/>
          <w:sz w:val="22"/>
        </w:rPr>
        <w:t>A.1.</w:t>
      </w:r>
      <w:r w:rsidR="00F16B0A" w:rsidRPr="00557367">
        <w:rPr>
          <w:b/>
          <w:sz w:val="22"/>
        </w:rPr>
        <w:t xml:space="preserve"> Classification of civil society organisations</w:t>
      </w:r>
    </w:p>
    <w:p w14:paraId="250DD04C" w14:textId="594840C5" w:rsidR="00557367" w:rsidRDefault="009C1479" w:rsidP="00813421">
      <w:pPr>
        <w:spacing w:after="160" w:line="259" w:lineRule="auto"/>
        <w:ind w:left="-142" w:hanging="567"/>
        <w:rPr>
          <w:sz w:val="22"/>
        </w:rPr>
      </w:pPr>
      <w:r w:rsidRPr="009C1479">
        <w:rPr>
          <w:sz w:val="22"/>
        </w:rPr>
        <w:tab/>
      </w:r>
      <w:r>
        <w:rPr>
          <w:sz w:val="22"/>
        </w:rPr>
        <w:t xml:space="preserve">Respondents were asked whether they participated in 14 different types of organisations. These 14 types of organisations were classified depending on whether their scope of intervention was more local, national or, in ambiguous cases, both national and local. </w:t>
      </w:r>
    </w:p>
    <w:p w14:paraId="6ABA4FFE" w14:textId="79B84139" w:rsidR="009C1479" w:rsidRPr="009C1479" w:rsidRDefault="0034356A" w:rsidP="00813421">
      <w:pPr>
        <w:spacing w:after="160" w:line="259" w:lineRule="auto"/>
        <w:ind w:left="-142" w:hanging="567"/>
        <w:rPr>
          <w:sz w:val="22"/>
        </w:rPr>
      </w:pPr>
      <w:r>
        <w:rPr>
          <w:sz w:val="22"/>
        </w:rPr>
        <w:tab/>
        <w:t>The question asked to respondents was the following:</w:t>
      </w:r>
    </w:p>
    <w:p w14:paraId="1B0D4401" w14:textId="7D22F43C" w:rsidR="00F16B0A" w:rsidRPr="0034356A" w:rsidRDefault="00557367" w:rsidP="00813421">
      <w:pPr>
        <w:spacing w:after="160" w:line="259" w:lineRule="auto"/>
        <w:ind w:left="-142" w:firstLine="0"/>
        <w:rPr>
          <w:sz w:val="22"/>
        </w:rPr>
      </w:pPr>
      <w:r w:rsidRPr="0034356A">
        <w:rPr>
          <w:sz w:val="22"/>
        </w:rPr>
        <w:t xml:space="preserve">QE11: </w:t>
      </w:r>
      <w:r w:rsidR="0034356A">
        <w:rPr>
          <w:sz w:val="22"/>
        </w:rPr>
        <w:t>“</w:t>
      </w:r>
      <w:r w:rsidRPr="0034356A">
        <w:rPr>
          <w:sz w:val="22"/>
        </w:rPr>
        <w:t>Do you currently participate actively in or do voluntary work for one or more of the following organisations?</w:t>
      </w:r>
      <w:r w:rsidR="0034356A">
        <w:rPr>
          <w:sz w:val="22"/>
        </w:rPr>
        <w:t>”</w:t>
      </w:r>
    </w:p>
    <w:p w14:paraId="7911F894" w14:textId="77777777" w:rsidR="0034356A" w:rsidRDefault="0034356A" w:rsidP="00813421">
      <w:pPr>
        <w:spacing w:after="160" w:line="259" w:lineRule="auto"/>
        <w:ind w:left="-142" w:firstLine="0"/>
        <w:rPr>
          <w:b/>
          <w:sz w:val="22"/>
        </w:rPr>
      </w:pPr>
    </w:p>
    <w:p w14:paraId="51F398D2" w14:textId="4B939D9A" w:rsidR="0034356A" w:rsidRPr="00557367" w:rsidRDefault="0034356A" w:rsidP="00813421">
      <w:pPr>
        <w:spacing w:after="160" w:line="259" w:lineRule="auto"/>
        <w:ind w:left="-142" w:firstLine="0"/>
        <w:rPr>
          <w:b/>
          <w:sz w:val="22"/>
        </w:rPr>
      </w:pPr>
      <w:r>
        <w:rPr>
          <w:b/>
          <w:sz w:val="22"/>
        </w:rPr>
        <w:t>Table A.1. Classification of organisations</w:t>
      </w:r>
    </w:p>
    <w:tbl>
      <w:tblPr>
        <w:tblStyle w:val="GridTable1Light"/>
        <w:tblW w:w="5893" w:type="pct"/>
        <w:tblInd w:w="-714" w:type="dxa"/>
        <w:tblLayout w:type="fixed"/>
        <w:tblLook w:val="04A0" w:firstRow="1" w:lastRow="0" w:firstColumn="1" w:lastColumn="0" w:noHBand="0" w:noVBand="1"/>
      </w:tblPr>
      <w:tblGrid>
        <w:gridCol w:w="711"/>
        <w:gridCol w:w="921"/>
        <w:gridCol w:w="5834"/>
        <w:gridCol w:w="1562"/>
        <w:gridCol w:w="983"/>
      </w:tblGrid>
      <w:tr w:rsidR="00557367" w:rsidRPr="00557367" w14:paraId="30DBEF86" w14:textId="77777777" w:rsidTr="00D9757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79D0AFBA" w14:textId="43A789DD" w:rsidR="00557367" w:rsidRPr="00557367" w:rsidRDefault="00557367" w:rsidP="00813421">
            <w:pPr>
              <w:spacing w:line="240" w:lineRule="auto"/>
              <w:ind w:firstLine="0"/>
              <w:rPr>
                <w:color w:val="000000"/>
                <w:sz w:val="22"/>
                <w:szCs w:val="22"/>
                <w:lang w:eastAsia="en-US"/>
              </w:rPr>
            </w:pPr>
            <w:r w:rsidRPr="00557367">
              <w:rPr>
                <w:color w:val="000000"/>
                <w:sz w:val="22"/>
                <w:szCs w:val="22"/>
                <w:lang w:eastAsia="en-US"/>
              </w:rPr>
              <w:t>Var</w:t>
            </w:r>
          </w:p>
        </w:tc>
        <w:tc>
          <w:tcPr>
            <w:tcW w:w="460" w:type="pct"/>
            <w:noWrap/>
            <w:hideMark/>
          </w:tcPr>
          <w:p w14:paraId="55F27731" w14:textId="1776A5EE" w:rsidR="00557367" w:rsidRPr="00557367" w:rsidRDefault="00557367" w:rsidP="00813421">
            <w:pPr>
              <w:spacing w:line="240" w:lineRule="auto"/>
              <w:ind w:firstLine="0"/>
              <w:cnfStyle w:val="100000000000" w:firstRow="1"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Option</w:t>
            </w:r>
          </w:p>
        </w:tc>
        <w:tc>
          <w:tcPr>
            <w:tcW w:w="2914" w:type="pct"/>
            <w:noWrap/>
            <w:hideMark/>
          </w:tcPr>
          <w:p w14:paraId="51D3801F" w14:textId="602A32FC" w:rsidR="00557367" w:rsidRPr="00557367" w:rsidRDefault="00557367" w:rsidP="00813421">
            <w:pPr>
              <w:spacing w:line="240" w:lineRule="auto"/>
              <w:ind w:firstLine="0"/>
              <w:cnfStyle w:val="100000000000" w:firstRow="1"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Description of organization</w:t>
            </w:r>
          </w:p>
        </w:tc>
        <w:tc>
          <w:tcPr>
            <w:tcW w:w="780" w:type="pct"/>
          </w:tcPr>
          <w:p w14:paraId="39E6FFA0" w14:textId="167A9778" w:rsidR="00557367" w:rsidRPr="00557367" w:rsidRDefault="00557367" w:rsidP="00813421">
            <w:pPr>
              <w:spacing w:line="240" w:lineRule="auto"/>
              <w:ind w:firstLine="0"/>
              <w:cnfStyle w:val="100000000000" w:firstRow="1"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Percent</w:t>
            </w:r>
            <w:r w:rsidR="00D97570">
              <w:rPr>
                <w:color w:val="000000"/>
                <w:sz w:val="22"/>
                <w:szCs w:val="22"/>
                <w:lang w:eastAsia="en-US"/>
              </w:rPr>
              <w:t xml:space="preserve"> in sample</w:t>
            </w:r>
          </w:p>
        </w:tc>
        <w:tc>
          <w:tcPr>
            <w:tcW w:w="491" w:type="pct"/>
            <w:noWrap/>
            <w:hideMark/>
          </w:tcPr>
          <w:p w14:paraId="6DE97936" w14:textId="287E9392" w:rsidR="00557367" w:rsidRPr="00557367" w:rsidRDefault="00557367" w:rsidP="00813421">
            <w:pPr>
              <w:spacing w:line="240" w:lineRule="auto"/>
              <w:ind w:firstLine="0"/>
              <w:cnfStyle w:val="100000000000" w:firstRow="1"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Scope</w:t>
            </w:r>
          </w:p>
        </w:tc>
      </w:tr>
      <w:tr w:rsidR="00557367" w:rsidRPr="00557367" w14:paraId="2838B5A2"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0080B888"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v514</w:t>
            </w:r>
          </w:p>
        </w:tc>
        <w:tc>
          <w:tcPr>
            <w:tcW w:w="460" w:type="pct"/>
            <w:noWrap/>
            <w:hideMark/>
          </w:tcPr>
          <w:p w14:paraId="6533EC81"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1</w:t>
            </w:r>
          </w:p>
        </w:tc>
        <w:tc>
          <w:tcPr>
            <w:tcW w:w="2914" w:type="pct"/>
            <w:noWrap/>
            <w:hideMark/>
          </w:tcPr>
          <w:p w14:paraId="14050C6D"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A sports club or club for outdoor activities (recreation organisation)</w:t>
            </w:r>
          </w:p>
        </w:tc>
        <w:tc>
          <w:tcPr>
            <w:tcW w:w="780" w:type="pct"/>
          </w:tcPr>
          <w:p w14:paraId="20BA5E55"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10%</w:t>
            </w:r>
          </w:p>
        </w:tc>
        <w:tc>
          <w:tcPr>
            <w:tcW w:w="491" w:type="pct"/>
            <w:noWrap/>
            <w:hideMark/>
          </w:tcPr>
          <w:p w14:paraId="28C1A737"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Local</w:t>
            </w:r>
          </w:p>
        </w:tc>
      </w:tr>
      <w:tr w:rsidR="00557367" w:rsidRPr="00557367" w14:paraId="2E12C685"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16DD6510"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v515</w:t>
            </w:r>
          </w:p>
        </w:tc>
        <w:tc>
          <w:tcPr>
            <w:tcW w:w="460" w:type="pct"/>
            <w:noWrap/>
            <w:hideMark/>
          </w:tcPr>
          <w:p w14:paraId="467AE0B1"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2</w:t>
            </w:r>
          </w:p>
        </w:tc>
        <w:tc>
          <w:tcPr>
            <w:tcW w:w="2914" w:type="pct"/>
            <w:noWrap/>
            <w:hideMark/>
          </w:tcPr>
          <w:p w14:paraId="730AC3E2"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Education, arts, music or cultural association</w:t>
            </w:r>
          </w:p>
        </w:tc>
        <w:tc>
          <w:tcPr>
            <w:tcW w:w="780" w:type="pct"/>
          </w:tcPr>
          <w:p w14:paraId="162369A8" w14:textId="10AC866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7%</w:t>
            </w:r>
          </w:p>
        </w:tc>
        <w:tc>
          <w:tcPr>
            <w:tcW w:w="491" w:type="pct"/>
            <w:noWrap/>
            <w:hideMark/>
          </w:tcPr>
          <w:p w14:paraId="7F09B048" w14:textId="19636B98"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Both</w:t>
            </w:r>
          </w:p>
        </w:tc>
      </w:tr>
      <w:tr w:rsidR="00557367" w:rsidRPr="00557367" w14:paraId="1902362E"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21569869"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v516</w:t>
            </w:r>
          </w:p>
        </w:tc>
        <w:tc>
          <w:tcPr>
            <w:tcW w:w="460" w:type="pct"/>
            <w:noWrap/>
            <w:hideMark/>
          </w:tcPr>
          <w:p w14:paraId="1221C18C"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3</w:t>
            </w:r>
          </w:p>
        </w:tc>
        <w:tc>
          <w:tcPr>
            <w:tcW w:w="2914" w:type="pct"/>
            <w:noWrap/>
            <w:hideMark/>
          </w:tcPr>
          <w:p w14:paraId="340AE3B0"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A trade union</w:t>
            </w:r>
          </w:p>
        </w:tc>
        <w:tc>
          <w:tcPr>
            <w:tcW w:w="780" w:type="pct"/>
          </w:tcPr>
          <w:p w14:paraId="77327E57" w14:textId="45ACEA72"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4%</w:t>
            </w:r>
          </w:p>
        </w:tc>
        <w:tc>
          <w:tcPr>
            <w:tcW w:w="491" w:type="pct"/>
            <w:noWrap/>
            <w:hideMark/>
          </w:tcPr>
          <w:p w14:paraId="20CDA9E3" w14:textId="679917CA"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National</w:t>
            </w:r>
          </w:p>
        </w:tc>
      </w:tr>
      <w:tr w:rsidR="00557367" w:rsidRPr="00557367" w14:paraId="45EAF7D4"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04E554D6"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v517</w:t>
            </w:r>
          </w:p>
        </w:tc>
        <w:tc>
          <w:tcPr>
            <w:tcW w:w="460" w:type="pct"/>
            <w:noWrap/>
            <w:hideMark/>
          </w:tcPr>
          <w:p w14:paraId="6CF44C36"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4</w:t>
            </w:r>
          </w:p>
        </w:tc>
        <w:tc>
          <w:tcPr>
            <w:tcW w:w="2914" w:type="pct"/>
            <w:noWrap/>
            <w:hideMark/>
          </w:tcPr>
          <w:p w14:paraId="731CB5D7"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A business or professional organisation</w:t>
            </w:r>
          </w:p>
        </w:tc>
        <w:tc>
          <w:tcPr>
            <w:tcW w:w="780" w:type="pct"/>
          </w:tcPr>
          <w:p w14:paraId="2F5A58B1" w14:textId="15AAE6C4"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3%</w:t>
            </w:r>
          </w:p>
        </w:tc>
        <w:tc>
          <w:tcPr>
            <w:tcW w:w="491" w:type="pct"/>
            <w:noWrap/>
            <w:hideMark/>
          </w:tcPr>
          <w:p w14:paraId="2F78ED9F" w14:textId="6725C744"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National</w:t>
            </w:r>
          </w:p>
        </w:tc>
      </w:tr>
      <w:tr w:rsidR="00557367" w:rsidRPr="00557367" w14:paraId="0B64DB93"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62325C67"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v518</w:t>
            </w:r>
          </w:p>
        </w:tc>
        <w:tc>
          <w:tcPr>
            <w:tcW w:w="460" w:type="pct"/>
            <w:noWrap/>
            <w:hideMark/>
          </w:tcPr>
          <w:p w14:paraId="410FB3D5"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5</w:t>
            </w:r>
          </w:p>
        </w:tc>
        <w:tc>
          <w:tcPr>
            <w:tcW w:w="2914" w:type="pct"/>
            <w:noWrap/>
            <w:hideMark/>
          </w:tcPr>
          <w:p w14:paraId="1272D91C"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A consumer organisation</w:t>
            </w:r>
          </w:p>
        </w:tc>
        <w:tc>
          <w:tcPr>
            <w:tcW w:w="780" w:type="pct"/>
          </w:tcPr>
          <w:p w14:paraId="562BB56B" w14:textId="5863AE64"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2%</w:t>
            </w:r>
          </w:p>
        </w:tc>
        <w:tc>
          <w:tcPr>
            <w:tcW w:w="491" w:type="pct"/>
            <w:noWrap/>
            <w:hideMark/>
          </w:tcPr>
          <w:p w14:paraId="5AFFBBC5" w14:textId="380941BD"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National</w:t>
            </w:r>
          </w:p>
        </w:tc>
      </w:tr>
      <w:tr w:rsidR="00557367" w:rsidRPr="00557367" w14:paraId="5982ADCA"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374843E2"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v519</w:t>
            </w:r>
          </w:p>
        </w:tc>
        <w:tc>
          <w:tcPr>
            <w:tcW w:w="460" w:type="pct"/>
            <w:noWrap/>
            <w:hideMark/>
          </w:tcPr>
          <w:p w14:paraId="6A6118C1"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6</w:t>
            </w:r>
          </w:p>
        </w:tc>
        <w:tc>
          <w:tcPr>
            <w:tcW w:w="2914" w:type="pct"/>
            <w:noWrap/>
            <w:hideMark/>
          </w:tcPr>
          <w:p w14:paraId="29FF9448"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An international organisation such as development aid organisation or human rights organisation</w:t>
            </w:r>
          </w:p>
        </w:tc>
        <w:tc>
          <w:tcPr>
            <w:tcW w:w="780" w:type="pct"/>
          </w:tcPr>
          <w:p w14:paraId="36C267AD" w14:textId="03260D38"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2%</w:t>
            </w:r>
          </w:p>
        </w:tc>
        <w:tc>
          <w:tcPr>
            <w:tcW w:w="491" w:type="pct"/>
            <w:noWrap/>
            <w:hideMark/>
          </w:tcPr>
          <w:p w14:paraId="4CE864C6" w14:textId="65DBA7D4"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National</w:t>
            </w:r>
          </w:p>
        </w:tc>
      </w:tr>
      <w:tr w:rsidR="00557367" w:rsidRPr="00557367" w14:paraId="54FFD17E"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055202DE"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v520</w:t>
            </w:r>
          </w:p>
        </w:tc>
        <w:tc>
          <w:tcPr>
            <w:tcW w:w="460" w:type="pct"/>
            <w:noWrap/>
            <w:hideMark/>
          </w:tcPr>
          <w:p w14:paraId="3644A204"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7</w:t>
            </w:r>
          </w:p>
        </w:tc>
        <w:tc>
          <w:tcPr>
            <w:tcW w:w="2914" w:type="pct"/>
            <w:noWrap/>
            <w:hideMark/>
          </w:tcPr>
          <w:p w14:paraId="0208431B"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An organisation for environmental protection, animal rights, etc.</w:t>
            </w:r>
          </w:p>
        </w:tc>
        <w:tc>
          <w:tcPr>
            <w:tcW w:w="780" w:type="pct"/>
          </w:tcPr>
          <w:p w14:paraId="17C4D94F" w14:textId="65D5DD7B"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3%</w:t>
            </w:r>
          </w:p>
        </w:tc>
        <w:tc>
          <w:tcPr>
            <w:tcW w:w="491" w:type="pct"/>
            <w:noWrap/>
            <w:hideMark/>
          </w:tcPr>
          <w:p w14:paraId="12031982" w14:textId="5B1034C2"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National</w:t>
            </w:r>
          </w:p>
        </w:tc>
      </w:tr>
      <w:tr w:rsidR="00557367" w:rsidRPr="00557367" w14:paraId="27F3B944"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7514A40A"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v521</w:t>
            </w:r>
          </w:p>
        </w:tc>
        <w:tc>
          <w:tcPr>
            <w:tcW w:w="460" w:type="pct"/>
            <w:noWrap/>
            <w:hideMark/>
          </w:tcPr>
          <w:p w14:paraId="33E60899"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8</w:t>
            </w:r>
          </w:p>
        </w:tc>
        <w:tc>
          <w:tcPr>
            <w:tcW w:w="2914" w:type="pct"/>
            <w:noWrap/>
            <w:hideMark/>
          </w:tcPr>
          <w:p w14:paraId="1AE49DE4"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A charity organisation or social aid organisation</w:t>
            </w:r>
          </w:p>
        </w:tc>
        <w:tc>
          <w:tcPr>
            <w:tcW w:w="780" w:type="pct"/>
          </w:tcPr>
          <w:p w14:paraId="7F988C59" w14:textId="589EA41B"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5%</w:t>
            </w:r>
          </w:p>
        </w:tc>
        <w:tc>
          <w:tcPr>
            <w:tcW w:w="491" w:type="pct"/>
            <w:noWrap/>
            <w:hideMark/>
          </w:tcPr>
          <w:p w14:paraId="4F89F22B" w14:textId="75D17593"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Local</w:t>
            </w:r>
          </w:p>
        </w:tc>
      </w:tr>
      <w:tr w:rsidR="00557367" w:rsidRPr="00557367" w14:paraId="0877BAFB"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4C171DAD"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v522</w:t>
            </w:r>
          </w:p>
        </w:tc>
        <w:tc>
          <w:tcPr>
            <w:tcW w:w="460" w:type="pct"/>
            <w:noWrap/>
            <w:hideMark/>
          </w:tcPr>
          <w:p w14:paraId="2DDA43A0"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9</w:t>
            </w:r>
          </w:p>
        </w:tc>
        <w:tc>
          <w:tcPr>
            <w:tcW w:w="2914" w:type="pct"/>
            <w:noWrap/>
            <w:hideMark/>
          </w:tcPr>
          <w:p w14:paraId="2961196F"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A leisure association for the elderly</w:t>
            </w:r>
          </w:p>
        </w:tc>
        <w:tc>
          <w:tcPr>
            <w:tcW w:w="780" w:type="pct"/>
          </w:tcPr>
          <w:p w14:paraId="1DDACC0E" w14:textId="590A8A48"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3%</w:t>
            </w:r>
          </w:p>
        </w:tc>
        <w:tc>
          <w:tcPr>
            <w:tcW w:w="491" w:type="pct"/>
            <w:noWrap/>
            <w:hideMark/>
          </w:tcPr>
          <w:p w14:paraId="0D1975AB" w14:textId="1A4D2D9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Local</w:t>
            </w:r>
          </w:p>
        </w:tc>
      </w:tr>
      <w:tr w:rsidR="00557367" w:rsidRPr="00557367" w14:paraId="5E071009"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744CE701"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v523</w:t>
            </w:r>
          </w:p>
        </w:tc>
        <w:tc>
          <w:tcPr>
            <w:tcW w:w="460" w:type="pct"/>
            <w:noWrap/>
            <w:hideMark/>
          </w:tcPr>
          <w:p w14:paraId="4546F791"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10</w:t>
            </w:r>
          </w:p>
        </w:tc>
        <w:tc>
          <w:tcPr>
            <w:tcW w:w="2914" w:type="pct"/>
            <w:noWrap/>
            <w:hideMark/>
          </w:tcPr>
          <w:p w14:paraId="4E944639"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An organisation for the defence of elderly rights</w:t>
            </w:r>
          </w:p>
        </w:tc>
        <w:tc>
          <w:tcPr>
            <w:tcW w:w="780" w:type="pct"/>
          </w:tcPr>
          <w:p w14:paraId="50AEFCC9" w14:textId="0467CA45"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1%</w:t>
            </w:r>
          </w:p>
        </w:tc>
        <w:tc>
          <w:tcPr>
            <w:tcW w:w="491" w:type="pct"/>
            <w:noWrap/>
            <w:hideMark/>
          </w:tcPr>
          <w:p w14:paraId="2956DCAA" w14:textId="6DD2F286"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Both</w:t>
            </w:r>
          </w:p>
        </w:tc>
      </w:tr>
      <w:tr w:rsidR="00557367" w:rsidRPr="00557367" w14:paraId="2EF47D2E"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4FFF03B5"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v524</w:t>
            </w:r>
          </w:p>
        </w:tc>
        <w:tc>
          <w:tcPr>
            <w:tcW w:w="460" w:type="pct"/>
            <w:noWrap/>
            <w:hideMark/>
          </w:tcPr>
          <w:p w14:paraId="053E19D0"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11</w:t>
            </w:r>
          </w:p>
        </w:tc>
        <w:tc>
          <w:tcPr>
            <w:tcW w:w="2914" w:type="pct"/>
            <w:noWrap/>
            <w:hideMark/>
          </w:tcPr>
          <w:p w14:paraId="3A70F8FC"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Religious or church organization</w:t>
            </w:r>
          </w:p>
        </w:tc>
        <w:tc>
          <w:tcPr>
            <w:tcW w:w="780" w:type="pct"/>
          </w:tcPr>
          <w:p w14:paraId="6654D140" w14:textId="1CC771F1"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5%</w:t>
            </w:r>
          </w:p>
        </w:tc>
        <w:tc>
          <w:tcPr>
            <w:tcW w:w="491" w:type="pct"/>
            <w:noWrap/>
            <w:hideMark/>
          </w:tcPr>
          <w:p w14:paraId="1B0CACC6" w14:textId="64247978"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Both</w:t>
            </w:r>
          </w:p>
        </w:tc>
      </w:tr>
      <w:tr w:rsidR="00557367" w:rsidRPr="00557367" w14:paraId="330A8EFA"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74731736"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v525</w:t>
            </w:r>
          </w:p>
        </w:tc>
        <w:tc>
          <w:tcPr>
            <w:tcW w:w="460" w:type="pct"/>
            <w:noWrap/>
            <w:hideMark/>
          </w:tcPr>
          <w:p w14:paraId="7E4E7A16"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12</w:t>
            </w:r>
          </w:p>
        </w:tc>
        <w:tc>
          <w:tcPr>
            <w:tcW w:w="2914" w:type="pct"/>
            <w:noWrap/>
            <w:hideMark/>
          </w:tcPr>
          <w:p w14:paraId="23AE876B"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Political party or organisation</w:t>
            </w:r>
          </w:p>
        </w:tc>
        <w:tc>
          <w:tcPr>
            <w:tcW w:w="780" w:type="pct"/>
          </w:tcPr>
          <w:p w14:paraId="2EB41514" w14:textId="2A6AD8DC"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2%</w:t>
            </w:r>
          </w:p>
        </w:tc>
        <w:tc>
          <w:tcPr>
            <w:tcW w:w="491" w:type="pct"/>
            <w:noWrap/>
            <w:hideMark/>
          </w:tcPr>
          <w:p w14:paraId="798DDD39" w14:textId="5EEC6A3A"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Both</w:t>
            </w:r>
          </w:p>
        </w:tc>
      </w:tr>
      <w:tr w:rsidR="00557367" w:rsidRPr="00557367" w14:paraId="5578D8AC"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371BE34A"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v526</w:t>
            </w:r>
          </w:p>
        </w:tc>
        <w:tc>
          <w:tcPr>
            <w:tcW w:w="460" w:type="pct"/>
            <w:noWrap/>
            <w:hideMark/>
          </w:tcPr>
          <w:p w14:paraId="43EB58E3"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13</w:t>
            </w:r>
          </w:p>
        </w:tc>
        <w:tc>
          <w:tcPr>
            <w:tcW w:w="2914" w:type="pct"/>
            <w:noWrap/>
            <w:hideMark/>
          </w:tcPr>
          <w:p w14:paraId="36BDCF7C"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Organisation defending the interest of patients and\or disabled</w:t>
            </w:r>
          </w:p>
        </w:tc>
        <w:tc>
          <w:tcPr>
            <w:tcW w:w="780" w:type="pct"/>
          </w:tcPr>
          <w:p w14:paraId="118CCAE7" w14:textId="600E2D23"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2%</w:t>
            </w:r>
          </w:p>
        </w:tc>
        <w:tc>
          <w:tcPr>
            <w:tcW w:w="491" w:type="pct"/>
            <w:noWrap/>
            <w:hideMark/>
          </w:tcPr>
          <w:p w14:paraId="2ACDABC7" w14:textId="4D996A38"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Both</w:t>
            </w:r>
          </w:p>
        </w:tc>
      </w:tr>
      <w:tr w:rsidR="00557367" w:rsidRPr="00557367" w14:paraId="2EC6A4F7" w14:textId="77777777" w:rsidTr="00D97570">
        <w:trPr>
          <w:trHeight w:val="315"/>
        </w:trPr>
        <w:tc>
          <w:tcPr>
            <w:cnfStyle w:val="001000000000" w:firstRow="0" w:lastRow="0" w:firstColumn="1" w:lastColumn="0" w:oddVBand="0" w:evenVBand="0" w:oddHBand="0" w:evenHBand="0" w:firstRowFirstColumn="0" w:firstRowLastColumn="0" w:lastRowFirstColumn="0" w:lastRowLastColumn="0"/>
            <w:tcW w:w="355" w:type="pct"/>
            <w:noWrap/>
            <w:hideMark/>
          </w:tcPr>
          <w:p w14:paraId="181D17CD" w14:textId="77777777" w:rsidR="00557367" w:rsidRPr="00557367" w:rsidRDefault="00557367" w:rsidP="00813421">
            <w:pPr>
              <w:spacing w:line="240" w:lineRule="auto"/>
              <w:ind w:firstLine="0"/>
              <w:rPr>
                <w:b w:val="0"/>
                <w:color w:val="000000"/>
                <w:sz w:val="22"/>
                <w:szCs w:val="22"/>
                <w:lang w:eastAsia="en-US"/>
              </w:rPr>
            </w:pPr>
            <w:r w:rsidRPr="00557367">
              <w:rPr>
                <w:b w:val="0"/>
                <w:color w:val="000000"/>
                <w:sz w:val="22"/>
                <w:szCs w:val="22"/>
                <w:lang w:eastAsia="en-US"/>
              </w:rPr>
              <w:t>v527</w:t>
            </w:r>
          </w:p>
        </w:tc>
        <w:tc>
          <w:tcPr>
            <w:tcW w:w="460" w:type="pct"/>
            <w:noWrap/>
            <w:hideMark/>
          </w:tcPr>
          <w:p w14:paraId="2F26DABB"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14</w:t>
            </w:r>
          </w:p>
        </w:tc>
        <w:tc>
          <w:tcPr>
            <w:tcW w:w="2914" w:type="pct"/>
            <w:noWrap/>
            <w:hideMark/>
          </w:tcPr>
          <w:p w14:paraId="00A207D0"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 xml:space="preserve"> Other interest groups for specific causes such as women, people with specific sexual orientation, local issues, etc.</w:t>
            </w:r>
          </w:p>
        </w:tc>
        <w:tc>
          <w:tcPr>
            <w:tcW w:w="780" w:type="pct"/>
          </w:tcPr>
          <w:p w14:paraId="6EA04B23" w14:textId="1AE680EB"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rFonts w:ascii="Calibri" w:hAnsi="Calibri"/>
                <w:color w:val="000000"/>
                <w:sz w:val="22"/>
                <w:szCs w:val="22"/>
              </w:rPr>
              <w:t>10%</w:t>
            </w:r>
          </w:p>
        </w:tc>
        <w:tc>
          <w:tcPr>
            <w:tcW w:w="491" w:type="pct"/>
            <w:noWrap/>
            <w:hideMark/>
          </w:tcPr>
          <w:p w14:paraId="63125BCD" w14:textId="6150AA40"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color w:val="000000"/>
                <w:sz w:val="22"/>
                <w:szCs w:val="22"/>
                <w:lang w:eastAsia="en-US"/>
              </w:rPr>
            </w:pPr>
            <w:r w:rsidRPr="00557367">
              <w:rPr>
                <w:color w:val="000000"/>
                <w:sz w:val="22"/>
                <w:szCs w:val="22"/>
                <w:lang w:eastAsia="en-US"/>
              </w:rPr>
              <w:t>Both</w:t>
            </w:r>
          </w:p>
        </w:tc>
      </w:tr>
    </w:tbl>
    <w:p w14:paraId="7C8F0E07" w14:textId="77777777" w:rsidR="00557367" w:rsidRDefault="00557367" w:rsidP="00813421">
      <w:pPr>
        <w:spacing w:after="160" w:line="259" w:lineRule="auto"/>
        <w:ind w:left="-142" w:hanging="567"/>
        <w:rPr>
          <w:b/>
          <w:sz w:val="22"/>
        </w:rPr>
      </w:pPr>
    </w:p>
    <w:p w14:paraId="43E9A301" w14:textId="246AD7CB" w:rsidR="009C1479" w:rsidRPr="009C1479" w:rsidRDefault="009C1479" w:rsidP="00813421">
      <w:pPr>
        <w:spacing w:after="160" w:line="259" w:lineRule="auto"/>
        <w:ind w:left="-142" w:firstLine="0"/>
        <w:rPr>
          <w:sz w:val="22"/>
        </w:rPr>
      </w:pPr>
      <w:r>
        <w:rPr>
          <w:sz w:val="22"/>
        </w:rPr>
        <w:t>Based on this classification scheme, t</w:t>
      </w:r>
      <w:r w:rsidRPr="009C1479">
        <w:rPr>
          <w:sz w:val="22"/>
        </w:rPr>
        <w:t xml:space="preserve">wo </w:t>
      </w:r>
      <w:r>
        <w:rPr>
          <w:sz w:val="22"/>
        </w:rPr>
        <w:t>variables were computed. “</w:t>
      </w:r>
      <w:proofErr w:type="spellStart"/>
      <w:r>
        <w:rPr>
          <w:sz w:val="22"/>
        </w:rPr>
        <w:t>Memb_nat</w:t>
      </w:r>
      <w:proofErr w:type="spellEnd"/>
      <w:r>
        <w:rPr>
          <w:sz w:val="22"/>
        </w:rPr>
        <w:t>” sums the number of organisations mentioned by the respondent classified as “national” or “both”. “</w:t>
      </w:r>
      <w:proofErr w:type="spellStart"/>
      <w:r>
        <w:rPr>
          <w:sz w:val="22"/>
        </w:rPr>
        <w:t>Memb_loc</w:t>
      </w:r>
      <w:proofErr w:type="spellEnd"/>
      <w:r>
        <w:rPr>
          <w:sz w:val="22"/>
        </w:rPr>
        <w:t>” sums the number of organisations mentioned by the respondent classified as “local” or “both”.</w:t>
      </w:r>
    </w:p>
    <w:p w14:paraId="4207BAE0" w14:textId="0CB1B27C" w:rsidR="00557367" w:rsidRPr="009C1479" w:rsidRDefault="009C1479" w:rsidP="00813421">
      <w:pPr>
        <w:spacing w:after="160" w:line="259" w:lineRule="auto"/>
        <w:ind w:left="-142" w:firstLine="0"/>
        <w:rPr>
          <w:sz w:val="22"/>
        </w:rPr>
      </w:pPr>
      <w:r w:rsidRPr="009C1479">
        <w:rPr>
          <w:sz w:val="22"/>
        </w:rPr>
        <w:t>The distribution</w:t>
      </w:r>
      <w:r w:rsidR="009E79DE">
        <w:rPr>
          <w:sz w:val="22"/>
        </w:rPr>
        <w:t>s</w:t>
      </w:r>
      <w:r w:rsidRPr="009C1479">
        <w:rPr>
          <w:sz w:val="22"/>
        </w:rPr>
        <w:t xml:space="preserve"> of these variables </w:t>
      </w:r>
      <w:r w:rsidR="009E79DE">
        <w:rPr>
          <w:sz w:val="22"/>
        </w:rPr>
        <w:t xml:space="preserve">are </w:t>
      </w:r>
      <w:r w:rsidRPr="009C1479">
        <w:rPr>
          <w:sz w:val="22"/>
        </w:rPr>
        <w:t>reproduced in tables A.2 and A.3</w:t>
      </w:r>
      <w:r>
        <w:rPr>
          <w:sz w:val="22"/>
        </w:rPr>
        <w:t>.</w:t>
      </w:r>
    </w:p>
    <w:p w14:paraId="7E06DF48" w14:textId="5EB91D00" w:rsidR="009C1479" w:rsidRDefault="0034356A" w:rsidP="00813421">
      <w:pPr>
        <w:spacing w:after="160" w:line="259" w:lineRule="auto"/>
        <w:ind w:left="-142" w:firstLine="0"/>
        <w:rPr>
          <w:b/>
          <w:sz w:val="22"/>
        </w:rPr>
      </w:pPr>
      <w:r>
        <w:rPr>
          <w:b/>
          <w:sz w:val="22"/>
        </w:rPr>
        <w:t xml:space="preserve">Table A.2. Distribution of </w:t>
      </w:r>
      <w:proofErr w:type="spellStart"/>
      <w:r>
        <w:rPr>
          <w:b/>
          <w:sz w:val="22"/>
        </w:rPr>
        <w:t>Memb_nat</w:t>
      </w:r>
      <w:proofErr w:type="spellEnd"/>
    </w:p>
    <w:tbl>
      <w:tblPr>
        <w:tblStyle w:val="PlainTable2"/>
        <w:tblW w:w="0" w:type="auto"/>
        <w:tblLook w:val="04A0" w:firstRow="1" w:lastRow="0" w:firstColumn="1" w:lastColumn="0" w:noHBand="0" w:noVBand="1"/>
      </w:tblPr>
      <w:tblGrid>
        <w:gridCol w:w="718"/>
        <w:gridCol w:w="821"/>
        <w:gridCol w:w="937"/>
        <w:gridCol w:w="821"/>
      </w:tblGrid>
      <w:tr w:rsidR="00557367" w:rsidRPr="00557367" w14:paraId="02BE4195" w14:textId="77777777" w:rsidTr="009C14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Pr>
          <w:p w14:paraId="3699465E" w14:textId="7D8EDD1B" w:rsidR="00557367" w:rsidRPr="00557367" w:rsidRDefault="00557367" w:rsidP="00813421">
            <w:pPr>
              <w:spacing w:line="240" w:lineRule="auto"/>
              <w:ind w:firstLine="0"/>
              <w:rPr>
                <w:sz w:val="22"/>
                <w:szCs w:val="22"/>
                <w:lang w:val="en-US" w:eastAsia="en-US"/>
              </w:rPr>
            </w:pPr>
          </w:p>
        </w:tc>
        <w:tc>
          <w:tcPr>
            <w:tcW w:w="0" w:type="auto"/>
            <w:hideMark/>
          </w:tcPr>
          <w:p w14:paraId="312D494F" w14:textId="77777777" w:rsidR="00557367" w:rsidRPr="00557367" w:rsidRDefault="00557367" w:rsidP="00813421">
            <w:pPr>
              <w:spacing w:line="240" w:lineRule="auto"/>
              <w:ind w:firstLine="0"/>
              <w:cnfStyle w:val="100000000000" w:firstRow="1" w:lastRow="0" w:firstColumn="0" w:lastColumn="0" w:oddVBand="0" w:evenVBand="0" w:oddHBand="0" w:evenHBand="0" w:firstRowFirstColumn="0" w:firstRowLastColumn="0" w:lastRowFirstColumn="0" w:lastRowLastColumn="0"/>
              <w:rPr>
                <w:sz w:val="22"/>
                <w:szCs w:val="22"/>
                <w:lang w:val="en-US" w:eastAsia="en-US"/>
              </w:rPr>
            </w:pPr>
            <w:r w:rsidRPr="00557367">
              <w:rPr>
                <w:sz w:val="22"/>
                <w:szCs w:val="22"/>
                <w:lang w:val="en-US" w:eastAsia="en-US"/>
              </w:rPr>
              <w:t>Freq.</w:t>
            </w:r>
          </w:p>
        </w:tc>
        <w:tc>
          <w:tcPr>
            <w:tcW w:w="0" w:type="auto"/>
            <w:hideMark/>
          </w:tcPr>
          <w:p w14:paraId="31622847" w14:textId="77777777" w:rsidR="00557367" w:rsidRPr="00557367" w:rsidRDefault="00557367" w:rsidP="00813421">
            <w:pPr>
              <w:spacing w:line="240" w:lineRule="auto"/>
              <w:ind w:firstLine="0"/>
              <w:cnfStyle w:val="100000000000" w:firstRow="1" w:lastRow="0" w:firstColumn="0" w:lastColumn="0" w:oddVBand="0" w:evenVBand="0" w:oddHBand="0" w:evenHBand="0" w:firstRowFirstColumn="0" w:firstRowLastColumn="0" w:lastRowFirstColumn="0" w:lastRowLastColumn="0"/>
              <w:rPr>
                <w:sz w:val="22"/>
                <w:szCs w:val="22"/>
                <w:lang w:val="en-US" w:eastAsia="en-US"/>
              </w:rPr>
            </w:pPr>
            <w:r w:rsidRPr="00557367">
              <w:rPr>
                <w:sz w:val="22"/>
                <w:szCs w:val="22"/>
                <w:lang w:val="en-US" w:eastAsia="en-US"/>
              </w:rPr>
              <w:t>Percent</w:t>
            </w:r>
          </w:p>
        </w:tc>
        <w:tc>
          <w:tcPr>
            <w:tcW w:w="0" w:type="auto"/>
            <w:hideMark/>
          </w:tcPr>
          <w:p w14:paraId="1DAFF7B3" w14:textId="77777777" w:rsidR="00557367" w:rsidRPr="00557367" w:rsidRDefault="00557367" w:rsidP="00813421">
            <w:pPr>
              <w:spacing w:line="240" w:lineRule="auto"/>
              <w:ind w:firstLine="0"/>
              <w:cnfStyle w:val="100000000000" w:firstRow="1" w:lastRow="0" w:firstColumn="0" w:lastColumn="0" w:oddVBand="0" w:evenVBand="0" w:oddHBand="0" w:evenHBand="0" w:firstRowFirstColumn="0" w:firstRowLastColumn="0" w:lastRowFirstColumn="0" w:lastRowLastColumn="0"/>
              <w:rPr>
                <w:sz w:val="22"/>
                <w:szCs w:val="22"/>
                <w:lang w:val="en-US" w:eastAsia="en-US"/>
              </w:rPr>
            </w:pPr>
            <w:r w:rsidRPr="00557367">
              <w:rPr>
                <w:sz w:val="22"/>
                <w:szCs w:val="22"/>
                <w:lang w:val="en-US" w:eastAsia="en-US"/>
              </w:rPr>
              <w:t>Cum.</w:t>
            </w:r>
          </w:p>
        </w:tc>
      </w:tr>
      <w:tr w:rsidR="00557367" w:rsidRPr="00557367" w14:paraId="6D1E94C5" w14:textId="77777777" w:rsidTr="009C14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hideMark/>
          </w:tcPr>
          <w:p w14:paraId="57E6A368" w14:textId="77777777" w:rsidR="00557367" w:rsidRPr="00557367" w:rsidRDefault="00557367" w:rsidP="00813421">
            <w:pPr>
              <w:spacing w:line="240" w:lineRule="auto"/>
              <w:ind w:firstLine="0"/>
              <w:rPr>
                <w:sz w:val="22"/>
                <w:szCs w:val="22"/>
                <w:lang w:val="en-US" w:eastAsia="en-US"/>
              </w:rPr>
            </w:pPr>
          </w:p>
        </w:tc>
        <w:tc>
          <w:tcPr>
            <w:tcW w:w="0" w:type="auto"/>
            <w:hideMark/>
          </w:tcPr>
          <w:p w14:paraId="4617A20D"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p>
        </w:tc>
        <w:tc>
          <w:tcPr>
            <w:tcW w:w="0" w:type="auto"/>
            <w:hideMark/>
          </w:tcPr>
          <w:p w14:paraId="13B0B254"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p>
        </w:tc>
        <w:tc>
          <w:tcPr>
            <w:tcW w:w="0" w:type="auto"/>
            <w:hideMark/>
          </w:tcPr>
          <w:p w14:paraId="7CB5FFAD"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p>
        </w:tc>
      </w:tr>
      <w:tr w:rsidR="00557367" w:rsidRPr="00557367" w14:paraId="6C0512D3" w14:textId="77777777" w:rsidTr="009C1479">
        <w:trPr>
          <w:trHeight w:val="256"/>
        </w:trPr>
        <w:tc>
          <w:tcPr>
            <w:cnfStyle w:val="001000000000" w:firstRow="0" w:lastRow="0" w:firstColumn="1" w:lastColumn="0" w:oddVBand="0" w:evenVBand="0" w:oddHBand="0" w:evenHBand="0" w:firstRowFirstColumn="0" w:firstRowLastColumn="0" w:lastRowFirstColumn="0" w:lastRowLastColumn="0"/>
            <w:tcW w:w="0" w:type="auto"/>
            <w:hideMark/>
          </w:tcPr>
          <w:p w14:paraId="493E2C66" w14:textId="77777777" w:rsidR="00557367" w:rsidRPr="00557367" w:rsidRDefault="00557367" w:rsidP="00813421">
            <w:pPr>
              <w:spacing w:line="240" w:lineRule="auto"/>
              <w:ind w:firstLine="0"/>
              <w:rPr>
                <w:sz w:val="22"/>
                <w:szCs w:val="22"/>
                <w:lang w:val="en-US" w:eastAsia="en-US"/>
              </w:rPr>
            </w:pPr>
            <w:r w:rsidRPr="00557367">
              <w:rPr>
                <w:sz w:val="22"/>
                <w:szCs w:val="22"/>
                <w:lang w:val="en-US" w:eastAsia="en-US"/>
              </w:rPr>
              <w:t>0</w:t>
            </w:r>
          </w:p>
        </w:tc>
        <w:tc>
          <w:tcPr>
            <w:tcW w:w="0" w:type="auto"/>
            <w:hideMark/>
          </w:tcPr>
          <w:p w14:paraId="713A0F02"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557367">
              <w:rPr>
                <w:sz w:val="22"/>
                <w:szCs w:val="22"/>
                <w:lang w:val="en-US" w:eastAsia="en-US"/>
              </w:rPr>
              <w:t>23,660</w:t>
            </w:r>
          </w:p>
        </w:tc>
        <w:tc>
          <w:tcPr>
            <w:tcW w:w="0" w:type="auto"/>
            <w:hideMark/>
          </w:tcPr>
          <w:p w14:paraId="5B5EA447"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557367">
              <w:rPr>
                <w:sz w:val="22"/>
                <w:szCs w:val="22"/>
                <w:lang w:val="en-US" w:eastAsia="en-US"/>
              </w:rPr>
              <w:t>78.31</w:t>
            </w:r>
          </w:p>
        </w:tc>
        <w:tc>
          <w:tcPr>
            <w:tcW w:w="0" w:type="auto"/>
            <w:hideMark/>
          </w:tcPr>
          <w:p w14:paraId="58D12F01"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557367">
              <w:rPr>
                <w:sz w:val="22"/>
                <w:szCs w:val="22"/>
                <w:lang w:val="en-US" w:eastAsia="en-US"/>
              </w:rPr>
              <w:t>78.31</w:t>
            </w:r>
          </w:p>
        </w:tc>
      </w:tr>
      <w:tr w:rsidR="00557367" w:rsidRPr="00557367" w14:paraId="72CDEDD0" w14:textId="77777777" w:rsidTr="009C14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hideMark/>
          </w:tcPr>
          <w:p w14:paraId="19B02436" w14:textId="77777777" w:rsidR="00557367" w:rsidRPr="00557367" w:rsidRDefault="00557367" w:rsidP="00813421">
            <w:pPr>
              <w:spacing w:line="240" w:lineRule="auto"/>
              <w:ind w:firstLine="0"/>
              <w:rPr>
                <w:sz w:val="22"/>
                <w:szCs w:val="22"/>
                <w:lang w:val="en-US" w:eastAsia="en-US"/>
              </w:rPr>
            </w:pPr>
            <w:r w:rsidRPr="00557367">
              <w:rPr>
                <w:sz w:val="22"/>
                <w:szCs w:val="22"/>
                <w:lang w:val="en-US" w:eastAsia="en-US"/>
              </w:rPr>
              <w:t>1</w:t>
            </w:r>
          </w:p>
        </w:tc>
        <w:tc>
          <w:tcPr>
            <w:tcW w:w="0" w:type="auto"/>
            <w:hideMark/>
          </w:tcPr>
          <w:p w14:paraId="1569F354"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557367">
              <w:rPr>
                <w:sz w:val="22"/>
                <w:szCs w:val="22"/>
                <w:lang w:val="en-US" w:eastAsia="en-US"/>
              </w:rPr>
              <w:t>4,330</w:t>
            </w:r>
          </w:p>
        </w:tc>
        <w:tc>
          <w:tcPr>
            <w:tcW w:w="0" w:type="auto"/>
            <w:hideMark/>
          </w:tcPr>
          <w:p w14:paraId="1CA88A7A"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557367">
              <w:rPr>
                <w:sz w:val="22"/>
                <w:szCs w:val="22"/>
                <w:lang w:val="en-US" w:eastAsia="en-US"/>
              </w:rPr>
              <w:t>14.33</w:t>
            </w:r>
          </w:p>
        </w:tc>
        <w:tc>
          <w:tcPr>
            <w:tcW w:w="0" w:type="auto"/>
            <w:hideMark/>
          </w:tcPr>
          <w:p w14:paraId="08D51D33"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557367">
              <w:rPr>
                <w:sz w:val="22"/>
                <w:szCs w:val="22"/>
                <w:lang w:val="en-US" w:eastAsia="en-US"/>
              </w:rPr>
              <w:t>92.64</w:t>
            </w:r>
          </w:p>
        </w:tc>
      </w:tr>
      <w:tr w:rsidR="00557367" w:rsidRPr="00557367" w14:paraId="667B0022" w14:textId="77777777" w:rsidTr="009C1479">
        <w:trPr>
          <w:trHeight w:val="256"/>
        </w:trPr>
        <w:tc>
          <w:tcPr>
            <w:cnfStyle w:val="001000000000" w:firstRow="0" w:lastRow="0" w:firstColumn="1" w:lastColumn="0" w:oddVBand="0" w:evenVBand="0" w:oddHBand="0" w:evenHBand="0" w:firstRowFirstColumn="0" w:firstRowLastColumn="0" w:lastRowFirstColumn="0" w:lastRowLastColumn="0"/>
            <w:tcW w:w="0" w:type="auto"/>
            <w:hideMark/>
          </w:tcPr>
          <w:p w14:paraId="61293EEB" w14:textId="77777777" w:rsidR="00557367" w:rsidRPr="00557367" w:rsidRDefault="00557367" w:rsidP="00813421">
            <w:pPr>
              <w:spacing w:line="240" w:lineRule="auto"/>
              <w:ind w:firstLine="0"/>
              <w:rPr>
                <w:sz w:val="22"/>
                <w:szCs w:val="22"/>
                <w:lang w:val="en-US" w:eastAsia="en-US"/>
              </w:rPr>
            </w:pPr>
            <w:r w:rsidRPr="00557367">
              <w:rPr>
                <w:sz w:val="22"/>
                <w:szCs w:val="22"/>
                <w:lang w:val="en-US" w:eastAsia="en-US"/>
              </w:rPr>
              <w:t>2</w:t>
            </w:r>
          </w:p>
        </w:tc>
        <w:tc>
          <w:tcPr>
            <w:tcW w:w="0" w:type="auto"/>
            <w:hideMark/>
          </w:tcPr>
          <w:p w14:paraId="065FAF0B"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557367">
              <w:rPr>
                <w:sz w:val="22"/>
                <w:szCs w:val="22"/>
                <w:lang w:val="en-US" w:eastAsia="en-US"/>
              </w:rPr>
              <w:t>1,407</w:t>
            </w:r>
          </w:p>
        </w:tc>
        <w:tc>
          <w:tcPr>
            <w:tcW w:w="0" w:type="auto"/>
            <w:hideMark/>
          </w:tcPr>
          <w:p w14:paraId="1FCADB2A"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557367">
              <w:rPr>
                <w:sz w:val="22"/>
                <w:szCs w:val="22"/>
                <w:lang w:val="en-US" w:eastAsia="en-US"/>
              </w:rPr>
              <w:t>4.66</w:t>
            </w:r>
          </w:p>
        </w:tc>
        <w:tc>
          <w:tcPr>
            <w:tcW w:w="0" w:type="auto"/>
            <w:hideMark/>
          </w:tcPr>
          <w:p w14:paraId="4446AD81"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557367">
              <w:rPr>
                <w:sz w:val="22"/>
                <w:szCs w:val="22"/>
                <w:lang w:val="en-US" w:eastAsia="en-US"/>
              </w:rPr>
              <w:t>97.29</w:t>
            </w:r>
          </w:p>
        </w:tc>
      </w:tr>
      <w:tr w:rsidR="00557367" w:rsidRPr="00557367" w14:paraId="76E9E13E" w14:textId="77777777" w:rsidTr="009C147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hideMark/>
          </w:tcPr>
          <w:p w14:paraId="17C10321" w14:textId="26CCE1F9" w:rsidR="00557367" w:rsidRPr="00557367" w:rsidRDefault="00557367" w:rsidP="00813421">
            <w:pPr>
              <w:spacing w:line="240" w:lineRule="auto"/>
              <w:ind w:firstLine="0"/>
              <w:rPr>
                <w:sz w:val="22"/>
                <w:szCs w:val="22"/>
                <w:lang w:val="en-US" w:eastAsia="en-US"/>
              </w:rPr>
            </w:pPr>
            <w:r w:rsidRPr="00557367">
              <w:rPr>
                <w:sz w:val="22"/>
                <w:szCs w:val="22"/>
                <w:lang w:val="en-US" w:eastAsia="en-US"/>
              </w:rPr>
              <w:lastRenderedPageBreak/>
              <w:t>3</w:t>
            </w:r>
            <w:r w:rsidR="009C1479" w:rsidRPr="0034356A">
              <w:rPr>
                <w:sz w:val="22"/>
                <w:szCs w:val="22"/>
                <w:lang w:val="en-US" w:eastAsia="en-US"/>
              </w:rPr>
              <w:t>+</w:t>
            </w:r>
          </w:p>
        </w:tc>
        <w:tc>
          <w:tcPr>
            <w:tcW w:w="0" w:type="auto"/>
            <w:hideMark/>
          </w:tcPr>
          <w:p w14:paraId="62A1B63E"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557367">
              <w:rPr>
                <w:sz w:val="22"/>
                <w:szCs w:val="22"/>
                <w:lang w:val="en-US" w:eastAsia="en-US"/>
              </w:rPr>
              <w:t>818</w:t>
            </w:r>
          </w:p>
        </w:tc>
        <w:tc>
          <w:tcPr>
            <w:tcW w:w="0" w:type="auto"/>
            <w:hideMark/>
          </w:tcPr>
          <w:p w14:paraId="70D95DA2"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557367">
              <w:rPr>
                <w:sz w:val="22"/>
                <w:szCs w:val="22"/>
                <w:lang w:val="en-US" w:eastAsia="en-US"/>
              </w:rPr>
              <w:t>2.71</w:t>
            </w:r>
          </w:p>
        </w:tc>
        <w:tc>
          <w:tcPr>
            <w:tcW w:w="0" w:type="auto"/>
            <w:hideMark/>
          </w:tcPr>
          <w:p w14:paraId="5DEA0C62"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557367">
              <w:rPr>
                <w:sz w:val="22"/>
                <w:szCs w:val="22"/>
                <w:lang w:val="en-US" w:eastAsia="en-US"/>
              </w:rPr>
              <w:t>100.00</w:t>
            </w:r>
          </w:p>
        </w:tc>
      </w:tr>
      <w:tr w:rsidR="00557367" w:rsidRPr="00557367" w14:paraId="0C6C5844" w14:textId="77777777" w:rsidTr="009C1479">
        <w:trPr>
          <w:trHeight w:val="256"/>
        </w:trPr>
        <w:tc>
          <w:tcPr>
            <w:cnfStyle w:val="001000000000" w:firstRow="0" w:lastRow="0" w:firstColumn="1" w:lastColumn="0" w:oddVBand="0" w:evenVBand="0" w:oddHBand="0" w:evenHBand="0" w:firstRowFirstColumn="0" w:firstRowLastColumn="0" w:lastRowFirstColumn="0" w:lastRowLastColumn="0"/>
            <w:tcW w:w="0" w:type="auto"/>
            <w:hideMark/>
          </w:tcPr>
          <w:p w14:paraId="0572F8F8" w14:textId="77777777" w:rsidR="00557367" w:rsidRPr="00557367" w:rsidRDefault="00557367" w:rsidP="00813421">
            <w:pPr>
              <w:spacing w:line="240" w:lineRule="auto"/>
              <w:ind w:firstLine="0"/>
              <w:rPr>
                <w:sz w:val="22"/>
                <w:szCs w:val="22"/>
                <w:lang w:val="en-US" w:eastAsia="en-US"/>
              </w:rPr>
            </w:pPr>
          </w:p>
        </w:tc>
        <w:tc>
          <w:tcPr>
            <w:tcW w:w="0" w:type="auto"/>
            <w:hideMark/>
          </w:tcPr>
          <w:p w14:paraId="26C5F5DF"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p>
        </w:tc>
        <w:tc>
          <w:tcPr>
            <w:tcW w:w="0" w:type="auto"/>
            <w:hideMark/>
          </w:tcPr>
          <w:p w14:paraId="13763332"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p>
        </w:tc>
        <w:tc>
          <w:tcPr>
            <w:tcW w:w="0" w:type="auto"/>
            <w:hideMark/>
          </w:tcPr>
          <w:p w14:paraId="3896CE12" w14:textId="77777777" w:rsidR="00557367" w:rsidRPr="00557367" w:rsidRDefault="00557367"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p>
        </w:tc>
      </w:tr>
      <w:tr w:rsidR="00557367" w:rsidRPr="00557367" w14:paraId="46F2FC70" w14:textId="77777777" w:rsidTr="009C14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3382E65F" w14:textId="77777777" w:rsidR="00557367" w:rsidRPr="00557367" w:rsidRDefault="00557367" w:rsidP="00813421">
            <w:pPr>
              <w:spacing w:line="240" w:lineRule="auto"/>
              <w:ind w:firstLine="0"/>
              <w:rPr>
                <w:sz w:val="22"/>
                <w:szCs w:val="22"/>
                <w:lang w:val="en-US" w:eastAsia="en-US"/>
              </w:rPr>
            </w:pPr>
            <w:r w:rsidRPr="00557367">
              <w:rPr>
                <w:sz w:val="22"/>
                <w:szCs w:val="22"/>
                <w:lang w:val="en-US" w:eastAsia="en-US"/>
              </w:rPr>
              <w:t>Total</w:t>
            </w:r>
          </w:p>
        </w:tc>
        <w:tc>
          <w:tcPr>
            <w:tcW w:w="0" w:type="auto"/>
            <w:hideMark/>
          </w:tcPr>
          <w:p w14:paraId="3FCC90CB"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557367">
              <w:rPr>
                <w:sz w:val="22"/>
                <w:szCs w:val="22"/>
                <w:lang w:val="en-US" w:eastAsia="en-US"/>
              </w:rPr>
              <w:t>30,215</w:t>
            </w:r>
          </w:p>
        </w:tc>
        <w:tc>
          <w:tcPr>
            <w:tcW w:w="0" w:type="auto"/>
            <w:hideMark/>
          </w:tcPr>
          <w:p w14:paraId="25DBA420"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557367">
              <w:rPr>
                <w:sz w:val="22"/>
                <w:szCs w:val="22"/>
                <w:lang w:val="en-US" w:eastAsia="en-US"/>
              </w:rPr>
              <w:t>100.00</w:t>
            </w:r>
          </w:p>
        </w:tc>
        <w:tc>
          <w:tcPr>
            <w:tcW w:w="0" w:type="auto"/>
            <w:hideMark/>
          </w:tcPr>
          <w:p w14:paraId="76341412" w14:textId="77777777" w:rsidR="00557367" w:rsidRPr="00557367" w:rsidRDefault="00557367"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p>
        </w:tc>
      </w:tr>
    </w:tbl>
    <w:p w14:paraId="345B4FD3" w14:textId="77777777" w:rsidR="0034356A" w:rsidRDefault="0034356A" w:rsidP="00813421">
      <w:pPr>
        <w:spacing w:after="160" w:line="259" w:lineRule="auto"/>
        <w:ind w:left="-142" w:firstLine="0"/>
        <w:rPr>
          <w:b/>
          <w:sz w:val="22"/>
        </w:rPr>
      </w:pPr>
    </w:p>
    <w:p w14:paraId="0683649D" w14:textId="689EEF9D" w:rsidR="0034356A" w:rsidRDefault="0034356A" w:rsidP="00813421">
      <w:pPr>
        <w:spacing w:after="160" w:line="259" w:lineRule="auto"/>
        <w:ind w:left="-142" w:firstLine="0"/>
        <w:rPr>
          <w:b/>
          <w:sz w:val="22"/>
        </w:rPr>
      </w:pPr>
      <w:r>
        <w:rPr>
          <w:b/>
          <w:sz w:val="22"/>
        </w:rPr>
        <w:t xml:space="preserve">Table A.3. Distribution of </w:t>
      </w:r>
      <w:proofErr w:type="spellStart"/>
      <w:r>
        <w:rPr>
          <w:b/>
          <w:sz w:val="22"/>
        </w:rPr>
        <w:t>Memb_loc</w:t>
      </w:r>
      <w:proofErr w:type="spellEnd"/>
    </w:p>
    <w:tbl>
      <w:tblPr>
        <w:tblStyle w:val="PlainTable2"/>
        <w:tblW w:w="0" w:type="auto"/>
        <w:tblLook w:val="04A0" w:firstRow="1" w:lastRow="0" w:firstColumn="1" w:lastColumn="0" w:noHBand="0" w:noVBand="1"/>
      </w:tblPr>
      <w:tblGrid>
        <w:gridCol w:w="718"/>
        <w:gridCol w:w="821"/>
        <w:gridCol w:w="937"/>
        <w:gridCol w:w="821"/>
      </w:tblGrid>
      <w:tr w:rsidR="009C1479" w:rsidRPr="009C1479" w14:paraId="2D802371" w14:textId="77777777" w:rsidTr="009C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C34B0D" w14:textId="77777777" w:rsidR="009C1479" w:rsidRPr="009C1479" w:rsidRDefault="009C1479" w:rsidP="00813421">
            <w:pPr>
              <w:spacing w:line="240" w:lineRule="auto"/>
              <w:ind w:firstLine="0"/>
              <w:rPr>
                <w:sz w:val="22"/>
                <w:szCs w:val="22"/>
                <w:lang w:val="en-US" w:eastAsia="en-US"/>
              </w:rPr>
            </w:pPr>
            <w:r w:rsidRPr="009C1479">
              <w:rPr>
                <w:sz w:val="22"/>
                <w:szCs w:val="22"/>
                <w:lang w:val="en-US" w:eastAsia="en-US"/>
              </w:rPr>
              <w:t>l</w:t>
            </w:r>
          </w:p>
        </w:tc>
        <w:tc>
          <w:tcPr>
            <w:tcW w:w="0" w:type="auto"/>
            <w:hideMark/>
          </w:tcPr>
          <w:p w14:paraId="3022DB89" w14:textId="77777777" w:rsidR="009C1479" w:rsidRPr="009C1479" w:rsidRDefault="009C1479" w:rsidP="00813421">
            <w:pPr>
              <w:spacing w:line="240" w:lineRule="auto"/>
              <w:ind w:firstLine="0"/>
              <w:cnfStyle w:val="100000000000" w:firstRow="1" w:lastRow="0" w:firstColumn="0" w:lastColumn="0" w:oddVBand="0" w:evenVBand="0" w:oddHBand="0" w:evenHBand="0" w:firstRowFirstColumn="0" w:firstRowLastColumn="0" w:lastRowFirstColumn="0" w:lastRowLastColumn="0"/>
              <w:rPr>
                <w:sz w:val="22"/>
                <w:szCs w:val="22"/>
                <w:lang w:val="en-US" w:eastAsia="en-US"/>
              </w:rPr>
            </w:pPr>
            <w:r w:rsidRPr="009C1479">
              <w:rPr>
                <w:sz w:val="22"/>
                <w:szCs w:val="22"/>
                <w:lang w:val="en-US" w:eastAsia="en-US"/>
              </w:rPr>
              <w:t>Freq.</w:t>
            </w:r>
          </w:p>
        </w:tc>
        <w:tc>
          <w:tcPr>
            <w:tcW w:w="0" w:type="auto"/>
            <w:hideMark/>
          </w:tcPr>
          <w:p w14:paraId="444CD7E2" w14:textId="77777777" w:rsidR="009C1479" w:rsidRPr="009C1479" w:rsidRDefault="009C1479" w:rsidP="00813421">
            <w:pPr>
              <w:spacing w:line="240" w:lineRule="auto"/>
              <w:ind w:firstLine="0"/>
              <w:cnfStyle w:val="100000000000" w:firstRow="1" w:lastRow="0" w:firstColumn="0" w:lastColumn="0" w:oddVBand="0" w:evenVBand="0" w:oddHBand="0" w:evenHBand="0" w:firstRowFirstColumn="0" w:firstRowLastColumn="0" w:lastRowFirstColumn="0" w:lastRowLastColumn="0"/>
              <w:rPr>
                <w:sz w:val="22"/>
                <w:szCs w:val="22"/>
                <w:lang w:val="en-US" w:eastAsia="en-US"/>
              </w:rPr>
            </w:pPr>
            <w:r w:rsidRPr="009C1479">
              <w:rPr>
                <w:sz w:val="22"/>
                <w:szCs w:val="22"/>
                <w:lang w:val="en-US" w:eastAsia="en-US"/>
              </w:rPr>
              <w:t>Percent</w:t>
            </w:r>
          </w:p>
        </w:tc>
        <w:tc>
          <w:tcPr>
            <w:tcW w:w="0" w:type="auto"/>
            <w:hideMark/>
          </w:tcPr>
          <w:p w14:paraId="5302CD05" w14:textId="77777777" w:rsidR="009C1479" w:rsidRPr="009C1479" w:rsidRDefault="009C1479" w:rsidP="00813421">
            <w:pPr>
              <w:spacing w:line="240" w:lineRule="auto"/>
              <w:ind w:firstLine="0"/>
              <w:cnfStyle w:val="100000000000" w:firstRow="1" w:lastRow="0" w:firstColumn="0" w:lastColumn="0" w:oddVBand="0" w:evenVBand="0" w:oddHBand="0" w:evenHBand="0" w:firstRowFirstColumn="0" w:firstRowLastColumn="0" w:lastRowFirstColumn="0" w:lastRowLastColumn="0"/>
              <w:rPr>
                <w:sz w:val="22"/>
                <w:szCs w:val="22"/>
                <w:lang w:val="en-US" w:eastAsia="en-US"/>
              </w:rPr>
            </w:pPr>
            <w:r w:rsidRPr="009C1479">
              <w:rPr>
                <w:sz w:val="22"/>
                <w:szCs w:val="22"/>
                <w:lang w:val="en-US" w:eastAsia="en-US"/>
              </w:rPr>
              <w:t>Cum.</w:t>
            </w:r>
          </w:p>
        </w:tc>
      </w:tr>
      <w:tr w:rsidR="009C1479" w:rsidRPr="009C1479" w14:paraId="3A4B25A7" w14:textId="77777777" w:rsidTr="009C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C6BBC" w14:textId="77777777" w:rsidR="009C1479" w:rsidRPr="009C1479" w:rsidRDefault="009C1479" w:rsidP="00813421">
            <w:pPr>
              <w:spacing w:line="240" w:lineRule="auto"/>
              <w:ind w:firstLine="0"/>
              <w:rPr>
                <w:sz w:val="22"/>
                <w:szCs w:val="22"/>
                <w:lang w:val="en-US" w:eastAsia="en-US"/>
              </w:rPr>
            </w:pPr>
          </w:p>
        </w:tc>
        <w:tc>
          <w:tcPr>
            <w:tcW w:w="0" w:type="auto"/>
            <w:hideMark/>
          </w:tcPr>
          <w:p w14:paraId="4E1DE24A"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p>
        </w:tc>
        <w:tc>
          <w:tcPr>
            <w:tcW w:w="0" w:type="auto"/>
            <w:hideMark/>
          </w:tcPr>
          <w:p w14:paraId="6B7F064C"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p>
        </w:tc>
        <w:tc>
          <w:tcPr>
            <w:tcW w:w="0" w:type="auto"/>
            <w:hideMark/>
          </w:tcPr>
          <w:p w14:paraId="03219483"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p>
        </w:tc>
      </w:tr>
      <w:tr w:rsidR="009C1479" w:rsidRPr="009C1479" w14:paraId="4D7B9C25" w14:textId="77777777" w:rsidTr="009C1479">
        <w:tc>
          <w:tcPr>
            <w:cnfStyle w:val="001000000000" w:firstRow="0" w:lastRow="0" w:firstColumn="1" w:lastColumn="0" w:oddVBand="0" w:evenVBand="0" w:oddHBand="0" w:evenHBand="0" w:firstRowFirstColumn="0" w:firstRowLastColumn="0" w:lastRowFirstColumn="0" w:lastRowLastColumn="0"/>
            <w:tcW w:w="0" w:type="auto"/>
            <w:hideMark/>
          </w:tcPr>
          <w:p w14:paraId="6FF05D1F" w14:textId="77777777" w:rsidR="009C1479" w:rsidRPr="009C1479" w:rsidRDefault="009C1479" w:rsidP="00813421">
            <w:pPr>
              <w:spacing w:line="240" w:lineRule="auto"/>
              <w:ind w:firstLine="0"/>
              <w:rPr>
                <w:sz w:val="22"/>
                <w:szCs w:val="22"/>
                <w:lang w:val="en-US" w:eastAsia="en-US"/>
              </w:rPr>
            </w:pPr>
            <w:r w:rsidRPr="009C1479">
              <w:rPr>
                <w:sz w:val="22"/>
                <w:szCs w:val="22"/>
                <w:lang w:val="en-US" w:eastAsia="en-US"/>
              </w:rPr>
              <w:t>0</w:t>
            </w:r>
          </w:p>
        </w:tc>
        <w:tc>
          <w:tcPr>
            <w:tcW w:w="0" w:type="auto"/>
            <w:hideMark/>
          </w:tcPr>
          <w:p w14:paraId="73315CDA" w14:textId="77777777" w:rsidR="009C1479" w:rsidRPr="009C1479" w:rsidRDefault="009C1479"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9C1479">
              <w:rPr>
                <w:sz w:val="22"/>
                <w:szCs w:val="22"/>
                <w:lang w:val="en-US" w:eastAsia="en-US"/>
              </w:rPr>
              <w:t>22,280</w:t>
            </w:r>
          </w:p>
        </w:tc>
        <w:tc>
          <w:tcPr>
            <w:tcW w:w="0" w:type="auto"/>
            <w:hideMark/>
          </w:tcPr>
          <w:p w14:paraId="47C41B4B" w14:textId="77777777" w:rsidR="009C1479" w:rsidRPr="009C1479" w:rsidRDefault="009C1479"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9C1479">
              <w:rPr>
                <w:sz w:val="22"/>
                <w:szCs w:val="22"/>
                <w:lang w:val="en-US" w:eastAsia="en-US"/>
              </w:rPr>
              <w:t>73.74</w:t>
            </w:r>
          </w:p>
        </w:tc>
        <w:tc>
          <w:tcPr>
            <w:tcW w:w="0" w:type="auto"/>
            <w:hideMark/>
          </w:tcPr>
          <w:p w14:paraId="4957EF14" w14:textId="77777777" w:rsidR="009C1479" w:rsidRPr="009C1479" w:rsidRDefault="009C1479"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9C1479">
              <w:rPr>
                <w:sz w:val="22"/>
                <w:szCs w:val="22"/>
                <w:lang w:val="en-US" w:eastAsia="en-US"/>
              </w:rPr>
              <w:t>73.74</w:t>
            </w:r>
          </w:p>
        </w:tc>
      </w:tr>
      <w:tr w:rsidR="009C1479" w:rsidRPr="009C1479" w14:paraId="038272EF" w14:textId="77777777" w:rsidTr="009C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221508" w14:textId="77777777" w:rsidR="009C1479" w:rsidRPr="009C1479" w:rsidRDefault="009C1479" w:rsidP="00813421">
            <w:pPr>
              <w:spacing w:line="240" w:lineRule="auto"/>
              <w:ind w:firstLine="0"/>
              <w:rPr>
                <w:sz w:val="22"/>
                <w:szCs w:val="22"/>
                <w:lang w:val="en-US" w:eastAsia="en-US"/>
              </w:rPr>
            </w:pPr>
            <w:r w:rsidRPr="009C1479">
              <w:rPr>
                <w:sz w:val="22"/>
                <w:szCs w:val="22"/>
                <w:lang w:val="en-US" w:eastAsia="en-US"/>
              </w:rPr>
              <w:t>1</w:t>
            </w:r>
          </w:p>
        </w:tc>
        <w:tc>
          <w:tcPr>
            <w:tcW w:w="0" w:type="auto"/>
            <w:hideMark/>
          </w:tcPr>
          <w:p w14:paraId="288D825D"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9C1479">
              <w:rPr>
                <w:sz w:val="22"/>
                <w:szCs w:val="22"/>
                <w:lang w:val="en-US" w:eastAsia="en-US"/>
              </w:rPr>
              <w:t>5,419</w:t>
            </w:r>
          </w:p>
        </w:tc>
        <w:tc>
          <w:tcPr>
            <w:tcW w:w="0" w:type="auto"/>
            <w:hideMark/>
          </w:tcPr>
          <w:p w14:paraId="57CEF4F0"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9C1479">
              <w:rPr>
                <w:sz w:val="22"/>
                <w:szCs w:val="22"/>
                <w:lang w:val="en-US" w:eastAsia="en-US"/>
              </w:rPr>
              <w:t>17.93</w:t>
            </w:r>
          </w:p>
        </w:tc>
        <w:tc>
          <w:tcPr>
            <w:tcW w:w="0" w:type="auto"/>
            <w:hideMark/>
          </w:tcPr>
          <w:p w14:paraId="39977C25"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9C1479">
              <w:rPr>
                <w:sz w:val="22"/>
                <w:szCs w:val="22"/>
                <w:lang w:val="en-US" w:eastAsia="en-US"/>
              </w:rPr>
              <w:t>91.67</w:t>
            </w:r>
          </w:p>
        </w:tc>
      </w:tr>
      <w:tr w:rsidR="009C1479" w:rsidRPr="009C1479" w14:paraId="6809749A" w14:textId="77777777" w:rsidTr="009C1479">
        <w:tc>
          <w:tcPr>
            <w:cnfStyle w:val="001000000000" w:firstRow="0" w:lastRow="0" w:firstColumn="1" w:lastColumn="0" w:oddVBand="0" w:evenVBand="0" w:oddHBand="0" w:evenHBand="0" w:firstRowFirstColumn="0" w:firstRowLastColumn="0" w:lastRowFirstColumn="0" w:lastRowLastColumn="0"/>
            <w:tcW w:w="0" w:type="auto"/>
            <w:hideMark/>
          </w:tcPr>
          <w:p w14:paraId="3E7FE5FC" w14:textId="77777777" w:rsidR="009C1479" w:rsidRPr="009C1479" w:rsidRDefault="009C1479" w:rsidP="00813421">
            <w:pPr>
              <w:spacing w:line="240" w:lineRule="auto"/>
              <w:ind w:firstLine="0"/>
              <w:rPr>
                <w:sz w:val="22"/>
                <w:szCs w:val="22"/>
                <w:lang w:val="en-US" w:eastAsia="en-US"/>
              </w:rPr>
            </w:pPr>
            <w:r w:rsidRPr="009C1479">
              <w:rPr>
                <w:sz w:val="22"/>
                <w:szCs w:val="22"/>
                <w:lang w:val="en-US" w:eastAsia="en-US"/>
              </w:rPr>
              <w:t>2</w:t>
            </w:r>
          </w:p>
        </w:tc>
        <w:tc>
          <w:tcPr>
            <w:tcW w:w="0" w:type="auto"/>
            <w:hideMark/>
          </w:tcPr>
          <w:p w14:paraId="4BA6C000" w14:textId="77777777" w:rsidR="009C1479" w:rsidRPr="009C1479" w:rsidRDefault="009C1479"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9C1479">
              <w:rPr>
                <w:sz w:val="22"/>
                <w:szCs w:val="22"/>
                <w:lang w:val="en-US" w:eastAsia="en-US"/>
              </w:rPr>
              <w:t>1,723</w:t>
            </w:r>
          </w:p>
        </w:tc>
        <w:tc>
          <w:tcPr>
            <w:tcW w:w="0" w:type="auto"/>
            <w:hideMark/>
          </w:tcPr>
          <w:p w14:paraId="57209677" w14:textId="77777777" w:rsidR="009C1479" w:rsidRPr="009C1479" w:rsidRDefault="009C1479"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9C1479">
              <w:rPr>
                <w:sz w:val="22"/>
                <w:szCs w:val="22"/>
                <w:lang w:val="en-US" w:eastAsia="en-US"/>
              </w:rPr>
              <w:t>5.70</w:t>
            </w:r>
          </w:p>
        </w:tc>
        <w:tc>
          <w:tcPr>
            <w:tcW w:w="0" w:type="auto"/>
            <w:hideMark/>
          </w:tcPr>
          <w:p w14:paraId="1839449A" w14:textId="77777777" w:rsidR="009C1479" w:rsidRPr="009C1479" w:rsidRDefault="009C1479"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r w:rsidRPr="009C1479">
              <w:rPr>
                <w:sz w:val="22"/>
                <w:szCs w:val="22"/>
                <w:lang w:val="en-US" w:eastAsia="en-US"/>
              </w:rPr>
              <w:t>97.38</w:t>
            </w:r>
          </w:p>
        </w:tc>
      </w:tr>
      <w:tr w:rsidR="009C1479" w:rsidRPr="009C1479" w14:paraId="37D4BF81" w14:textId="77777777" w:rsidTr="009C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CB1BAD" w14:textId="1D05E221" w:rsidR="009C1479" w:rsidRPr="009C1479" w:rsidRDefault="009C1479" w:rsidP="00813421">
            <w:pPr>
              <w:spacing w:line="240" w:lineRule="auto"/>
              <w:ind w:firstLine="0"/>
              <w:rPr>
                <w:sz w:val="22"/>
                <w:szCs w:val="22"/>
                <w:lang w:val="en-US" w:eastAsia="en-US"/>
              </w:rPr>
            </w:pPr>
            <w:r w:rsidRPr="009C1479">
              <w:rPr>
                <w:sz w:val="22"/>
                <w:szCs w:val="22"/>
                <w:lang w:val="en-US" w:eastAsia="en-US"/>
              </w:rPr>
              <w:t>3</w:t>
            </w:r>
            <w:r w:rsidRPr="0034356A">
              <w:rPr>
                <w:sz w:val="22"/>
                <w:szCs w:val="22"/>
                <w:lang w:val="en-US" w:eastAsia="en-US"/>
              </w:rPr>
              <w:t>+</w:t>
            </w:r>
          </w:p>
        </w:tc>
        <w:tc>
          <w:tcPr>
            <w:tcW w:w="0" w:type="auto"/>
            <w:hideMark/>
          </w:tcPr>
          <w:p w14:paraId="03F18CA0"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9C1479">
              <w:rPr>
                <w:sz w:val="22"/>
                <w:szCs w:val="22"/>
                <w:lang w:val="en-US" w:eastAsia="en-US"/>
              </w:rPr>
              <w:t>793</w:t>
            </w:r>
          </w:p>
        </w:tc>
        <w:tc>
          <w:tcPr>
            <w:tcW w:w="0" w:type="auto"/>
            <w:hideMark/>
          </w:tcPr>
          <w:p w14:paraId="64AC8241"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9C1479">
              <w:rPr>
                <w:sz w:val="22"/>
                <w:szCs w:val="22"/>
                <w:lang w:val="en-US" w:eastAsia="en-US"/>
              </w:rPr>
              <w:t>2.62</w:t>
            </w:r>
          </w:p>
        </w:tc>
        <w:tc>
          <w:tcPr>
            <w:tcW w:w="0" w:type="auto"/>
            <w:hideMark/>
          </w:tcPr>
          <w:p w14:paraId="490DF74A"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9C1479">
              <w:rPr>
                <w:sz w:val="22"/>
                <w:szCs w:val="22"/>
                <w:lang w:val="en-US" w:eastAsia="en-US"/>
              </w:rPr>
              <w:t>100.00</w:t>
            </w:r>
          </w:p>
        </w:tc>
      </w:tr>
      <w:tr w:rsidR="009C1479" w:rsidRPr="009C1479" w14:paraId="03D43478" w14:textId="77777777" w:rsidTr="009C1479">
        <w:tc>
          <w:tcPr>
            <w:cnfStyle w:val="001000000000" w:firstRow="0" w:lastRow="0" w:firstColumn="1" w:lastColumn="0" w:oddVBand="0" w:evenVBand="0" w:oddHBand="0" w:evenHBand="0" w:firstRowFirstColumn="0" w:firstRowLastColumn="0" w:lastRowFirstColumn="0" w:lastRowLastColumn="0"/>
            <w:tcW w:w="0" w:type="auto"/>
            <w:hideMark/>
          </w:tcPr>
          <w:p w14:paraId="77C387BC" w14:textId="77777777" w:rsidR="009C1479" w:rsidRPr="009C1479" w:rsidRDefault="009C1479" w:rsidP="00813421">
            <w:pPr>
              <w:spacing w:line="240" w:lineRule="auto"/>
              <w:ind w:firstLine="0"/>
              <w:rPr>
                <w:sz w:val="22"/>
                <w:szCs w:val="22"/>
                <w:lang w:val="en-US" w:eastAsia="en-US"/>
              </w:rPr>
            </w:pPr>
          </w:p>
        </w:tc>
        <w:tc>
          <w:tcPr>
            <w:tcW w:w="0" w:type="auto"/>
            <w:hideMark/>
          </w:tcPr>
          <w:p w14:paraId="233B2944" w14:textId="77777777" w:rsidR="009C1479" w:rsidRPr="009C1479" w:rsidRDefault="009C1479"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p>
        </w:tc>
        <w:tc>
          <w:tcPr>
            <w:tcW w:w="0" w:type="auto"/>
            <w:hideMark/>
          </w:tcPr>
          <w:p w14:paraId="2FAAD3D2" w14:textId="77777777" w:rsidR="009C1479" w:rsidRPr="009C1479" w:rsidRDefault="009C1479"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p>
        </w:tc>
        <w:tc>
          <w:tcPr>
            <w:tcW w:w="0" w:type="auto"/>
            <w:hideMark/>
          </w:tcPr>
          <w:p w14:paraId="478CE905" w14:textId="77777777" w:rsidR="009C1479" w:rsidRPr="009C1479" w:rsidRDefault="009C1479" w:rsidP="00813421">
            <w:pPr>
              <w:spacing w:line="240" w:lineRule="auto"/>
              <w:ind w:firstLine="0"/>
              <w:cnfStyle w:val="000000000000" w:firstRow="0" w:lastRow="0" w:firstColumn="0" w:lastColumn="0" w:oddVBand="0" w:evenVBand="0" w:oddHBand="0" w:evenHBand="0" w:firstRowFirstColumn="0" w:firstRowLastColumn="0" w:lastRowFirstColumn="0" w:lastRowLastColumn="0"/>
              <w:rPr>
                <w:sz w:val="22"/>
                <w:szCs w:val="22"/>
                <w:lang w:val="en-US" w:eastAsia="en-US"/>
              </w:rPr>
            </w:pPr>
          </w:p>
        </w:tc>
      </w:tr>
      <w:tr w:rsidR="009C1479" w:rsidRPr="009C1479" w14:paraId="7D031518" w14:textId="77777777" w:rsidTr="009C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D964A" w14:textId="77777777" w:rsidR="009C1479" w:rsidRPr="009C1479" w:rsidRDefault="009C1479" w:rsidP="00813421">
            <w:pPr>
              <w:spacing w:line="240" w:lineRule="auto"/>
              <w:ind w:firstLine="0"/>
              <w:rPr>
                <w:sz w:val="22"/>
                <w:szCs w:val="22"/>
                <w:lang w:val="en-US" w:eastAsia="en-US"/>
              </w:rPr>
            </w:pPr>
            <w:r w:rsidRPr="009C1479">
              <w:rPr>
                <w:sz w:val="22"/>
                <w:szCs w:val="22"/>
                <w:lang w:val="en-US" w:eastAsia="en-US"/>
              </w:rPr>
              <w:t>Total</w:t>
            </w:r>
          </w:p>
        </w:tc>
        <w:tc>
          <w:tcPr>
            <w:tcW w:w="0" w:type="auto"/>
            <w:hideMark/>
          </w:tcPr>
          <w:p w14:paraId="7BAB85A6"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9C1479">
              <w:rPr>
                <w:sz w:val="22"/>
                <w:szCs w:val="22"/>
                <w:lang w:val="en-US" w:eastAsia="en-US"/>
              </w:rPr>
              <w:t>30,215</w:t>
            </w:r>
          </w:p>
        </w:tc>
        <w:tc>
          <w:tcPr>
            <w:tcW w:w="0" w:type="auto"/>
            <w:hideMark/>
          </w:tcPr>
          <w:p w14:paraId="7E331960"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r w:rsidRPr="009C1479">
              <w:rPr>
                <w:sz w:val="22"/>
                <w:szCs w:val="22"/>
                <w:lang w:val="en-US" w:eastAsia="en-US"/>
              </w:rPr>
              <w:t>100.00</w:t>
            </w:r>
          </w:p>
        </w:tc>
        <w:tc>
          <w:tcPr>
            <w:tcW w:w="0" w:type="auto"/>
            <w:hideMark/>
          </w:tcPr>
          <w:p w14:paraId="0961839F" w14:textId="77777777" w:rsidR="009C1479" w:rsidRPr="009C1479" w:rsidRDefault="009C1479" w:rsidP="00813421">
            <w:pPr>
              <w:spacing w:line="240" w:lineRule="auto"/>
              <w:ind w:firstLine="0"/>
              <w:cnfStyle w:val="000000100000" w:firstRow="0" w:lastRow="0" w:firstColumn="0" w:lastColumn="0" w:oddVBand="0" w:evenVBand="0" w:oddHBand="1" w:evenHBand="0" w:firstRowFirstColumn="0" w:firstRowLastColumn="0" w:lastRowFirstColumn="0" w:lastRowLastColumn="0"/>
              <w:rPr>
                <w:sz w:val="22"/>
                <w:szCs w:val="22"/>
                <w:lang w:val="en-US" w:eastAsia="en-US"/>
              </w:rPr>
            </w:pPr>
          </w:p>
        </w:tc>
      </w:tr>
    </w:tbl>
    <w:p w14:paraId="68B0C32B" w14:textId="77777777" w:rsidR="009C1479" w:rsidRPr="00557367" w:rsidRDefault="009C1479" w:rsidP="00813421">
      <w:pPr>
        <w:spacing w:after="160" w:line="259" w:lineRule="auto"/>
        <w:ind w:left="-142" w:hanging="567"/>
        <w:rPr>
          <w:b/>
          <w:sz w:val="22"/>
        </w:rPr>
      </w:pPr>
    </w:p>
    <w:sectPr w:rsidR="009C1479" w:rsidRPr="00557367" w:rsidSect="00833079">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F5468" w14:textId="77777777" w:rsidR="0020395B" w:rsidRDefault="0020395B" w:rsidP="0032085A">
      <w:r>
        <w:separator/>
      </w:r>
    </w:p>
  </w:endnote>
  <w:endnote w:type="continuationSeparator" w:id="0">
    <w:p w14:paraId="3F93B042" w14:textId="77777777" w:rsidR="0020395B" w:rsidRDefault="0020395B" w:rsidP="0032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Lucida Sans"/>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999860"/>
      <w:docPartObj>
        <w:docPartGallery w:val="Page Numbers (Bottom of Page)"/>
        <w:docPartUnique/>
      </w:docPartObj>
    </w:sdtPr>
    <w:sdtEndPr>
      <w:rPr>
        <w:noProof/>
      </w:rPr>
    </w:sdtEndPr>
    <w:sdtContent>
      <w:p w14:paraId="08E445F0" w14:textId="23D8BB5B" w:rsidR="00890108" w:rsidRPr="00BC1898" w:rsidRDefault="00890108" w:rsidP="00167E8C">
        <w:pPr>
          <w:pStyle w:val="Footer"/>
          <w:ind w:left="4252" w:hanging="3543"/>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AC40F" w14:textId="77777777" w:rsidR="0020395B" w:rsidRDefault="0020395B" w:rsidP="0032085A">
      <w:r>
        <w:separator/>
      </w:r>
    </w:p>
  </w:footnote>
  <w:footnote w:type="continuationSeparator" w:id="0">
    <w:p w14:paraId="1FC844F0" w14:textId="77777777" w:rsidR="0020395B" w:rsidRDefault="0020395B" w:rsidP="0032085A">
      <w:r>
        <w:continuationSeparator/>
      </w:r>
    </w:p>
  </w:footnote>
  <w:footnote w:id="1">
    <w:p w14:paraId="753AE450" w14:textId="42DC6D44" w:rsidR="00890108" w:rsidRPr="00283532" w:rsidRDefault="00890108" w:rsidP="00DC0EB6">
      <w:pPr>
        <w:pStyle w:val="FootnoteText"/>
        <w:spacing w:line="276" w:lineRule="auto"/>
        <w:ind w:firstLine="0"/>
      </w:pPr>
      <w:r w:rsidRPr="00813421">
        <w:rPr>
          <w:rStyle w:val="FootnoteReference"/>
        </w:rPr>
        <w:footnoteRef/>
      </w:r>
      <w:r>
        <w:t xml:space="preserve"> A branch of the </w:t>
      </w:r>
      <w:r w:rsidRPr="00283532">
        <w:t>literature</w:t>
      </w:r>
      <w:r>
        <w:t xml:space="preserve"> that </w:t>
      </w:r>
      <w:r w:rsidRPr="00283532">
        <w:t>falls behind the scope of this article deals with the extent to which political discussions are circumscribed to like-minded individuals</w:t>
      </w:r>
      <w:r>
        <w:t xml:space="preserve"> </w:t>
      </w:r>
      <w:r>
        <w:fldChar w:fldCharType="begin"/>
      </w:r>
      <w:r>
        <w:instrText xml:space="preserve"> ADDIN ZOTERO_ITEM CSL_CITATION {"citationID":"2ltb7uue4s","properties":{"formattedCitation":"(Eveland and Hively, 2009)","plainCitation":"(Eveland and Hively, 2009)"},"citationItems":[{"id":2676,"uris":["http://zotero.org/users/109723/items/68G59TW9"],"uri":["http://zotero.org/users/109723/items/68G59TW9"],"itemData":{"id":2676,"type":"article-journal","title":"Political Discussion Frequency, Network Size, and “Heterogeneity” of Discussion as Predictors of Political Knowledge and Participation","container-title":"Journal of Communication","page":"205-224","volume":"59","issue":"2","source":"Wiley Online Library","abstract":"In this study, we examine the influence of discussion frequency, network size, and 3 variables that together entangle the often misunderstood concept of network heterogeneity: discussion frequency with like-minded individuals (“safe” discussion), discussion frequency with nonlike-minded individuals (“dangerous” discussion), and diversity of discussion based on the proportion of safe and dangerous discussion. Data were gathered via a postelection random-digit dial telephone survey of residents of a battleground state (N = 600) in November 2004. Three central dependent variables were measured: factual political knowledge, political knowledge structure density, and political participation. The results support the argument that different aspects of political discussion have different implications for different democratic outcomes-and that different conceptualizations and measures of discussion “heterogeneity” produce different results.","DOI":"10.1111/j.1460-2466.2009.01412.x","ISSN":"1460-2466","language":"en","author":[{"family":"Eveland","given":"William P"},{"family":"Hively","given":"Myiah Hutchens"}],"issued":{"date-parts":[["2009",6,1]]}}}],"schema":"https://github.com/citation-style-language/schema/raw/master/csl-citation.json"} </w:instrText>
      </w:r>
      <w:r>
        <w:fldChar w:fldCharType="separate"/>
      </w:r>
      <w:r w:rsidRPr="00530235">
        <w:t>(Eveland and Hively, 2009)</w:t>
      </w:r>
      <w:r>
        <w:fldChar w:fldCharType="end"/>
      </w:r>
      <w:r w:rsidRPr="00283532">
        <w:t>.</w:t>
      </w:r>
    </w:p>
  </w:footnote>
  <w:footnote w:id="2">
    <w:p w14:paraId="106C0F04" w14:textId="7162C2DB" w:rsidR="00890108" w:rsidRPr="00283532" w:rsidRDefault="00890108" w:rsidP="00283532">
      <w:pPr>
        <w:spacing w:line="276" w:lineRule="auto"/>
        <w:ind w:firstLine="0"/>
        <w:jc w:val="left"/>
        <w:rPr>
          <w:sz w:val="20"/>
          <w:szCs w:val="20"/>
        </w:rPr>
      </w:pPr>
      <w:r w:rsidRPr="00813421">
        <w:rPr>
          <w:rStyle w:val="FootnoteReference"/>
        </w:rPr>
        <w:footnoteRef/>
      </w:r>
      <w:r w:rsidRPr="00283532">
        <w:rPr>
          <w:sz w:val="20"/>
          <w:szCs w:val="20"/>
        </w:rPr>
        <w:t xml:space="preserve"> Refusing to answer and answering “Don’t know” were set as being equivalent to</w:t>
      </w:r>
      <w:r w:rsidRPr="00283532">
        <w:rPr>
          <w:sz w:val="20"/>
          <w:szCs w:val="20"/>
        </w:rPr>
        <w:t xml:space="preserve"> “Never” discussing politics.</w:t>
      </w:r>
    </w:p>
  </w:footnote>
  <w:footnote w:id="3">
    <w:p w14:paraId="76302A95" w14:textId="77777777" w:rsidR="00890108" w:rsidRPr="00283532" w:rsidRDefault="00890108" w:rsidP="00F16B0A">
      <w:pPr>
        <w:pStyle w:val="FootnoteText"/>
        <w:spacing w:line="276" w:lineRule="auto"/>
      </w:pPr>
      <w:r w:rsidRPr="00813421">
        <w:rPr>
          <w:rStyle w:val="FootnoteReference"/>
        </w:rPr>
        <w:footnoteRef/>
      </w:r>
      <w:r w:rsidRPr="00283532">
        <w:t xml:space="preserve"> Details about the operationalisation</w:t>
      </w:r>
      <w:r w:rsidRPr="00283532">
        <w:t xml:space="preserve"> of this variable are available in the appendix.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445EE" w14:textId="77777777" w:rsidR="00890108" w:rsidRPr="00E32853" w:rsidRDefault="00890108" w:rsidP="00801918">
    <w:pPr>
      <w:pStyle w:val="Header"/>
      <w:tabs>
        <w:tab w:val="clear" w:pos="4252"/>
        <w:tab w:val="clear" w:pos="8504"/>
        <w:tab w:val="left" w:pos="5408"/>
      </w:tabs>
      <w:rPr>
        <w:lang w:val="pt-PT"/>
      </w:rPr>
    </w:pPr>
    <w:r>
      <w:rPr>
        <w:lang w:val="pt-PT"/>
      </w:rPr>
      <w:tab/>
    </w:r>
  </w:p>
  <w:p w14:paraId="08E445EF" w14:textId="77777777" w:rsidR="00890108" w:rsidRDefault="008901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64F"/>
    <w:multiLevelType w:val="hybridMultilevel"/>
    <w:tmpl w:val="EFA07B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ED2DD0"/>
    <w:multiLevelType w:val="hybridMultilevel"/>
    <w:tmpl w:val="9EAA64F2"/>
    <w:lvl w:ilvl="0" w:tplc="9FE6A95C">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2" w15:restartNumberingAfterBreak="0">
    <w:nsid w:val="194D568B"/>
    <w:multiLevelType w:val="hybridMultilevel"/>
    <w:tmpl w:val="90FA55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D6F5583"/>
    <w:multiLevelType w:val="multilevel"/>
    <w:tmpl w:val="89BA07E4"/>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24854DFB"/>
    <w:multiLevelType w:val="hybridMultilevel"/>
    <w:tmpl w:val="91DADABC"/>
    <w:lvl w:ilvl="0" w:tplc="E3C6D330">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5" w15:restartNumberingAfterBreak="0">
    <w:nsid w:val="2849263A"/>
    <w:multiLevelType w:val="hybridMultilevel"/>
    <w:tmpl w:val="C33685C6"/>
    <w:lvl w:ilvl="0" w:tplc="9D44CFF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306C6661"/>
    <w:multiLevelType w:val="hybridMultilevel"/>
    <w:tmpl w:val="AF388B5E"/>
    <w:lvl w:ilvl="0" w:tplc="08E21666">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7" w15:restartNumberingAfterBreak="0">
    <w:nsid w:val="35400C31"/>
    <w:multiLevelType w:val="hybridMultilevel"/>
    <w:tmpl w:val="A6245F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E4015C5"/>
    <w:multiLevelType w:val="hybridMultilevel"/>
    <w:tmpl w:val="7F7AC8AA"/>
    <w:lvl w:ilvl="0" w:tplc="44AE448E">
      <w:start w:val="2"/>
      <w:numFmt w:val="decimal"/>
      <w:lvlText w:val="%1."/>
      <w:lvlJc w:val="left"/>
      <w:pPr>
        <w:ind w:left="1429" w:hanging="360"/>
      </w:pPr>
      <w:rPr>
        <w:rFonts w:hint="default"/>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9" w15:restartNumberingAfterBreak="0">
    <w:nsid w:val="6254052E"/>
    <w:multiLevelType w:val="hybridMultilevel"/>
    <w:tmpl w:val="EACC352E"/>
    <w:lvl w:ilvl="0" w:tplc="C28E6504">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0" w15:restartNumberingAfterBreak="0">
    <w:nsid w:val="6ED8368E"/>
    <w:multiLevelType w:val="hybridMultilevel"/>
    <w:tmpl w:val="B7FE21E4"/>
    <w:lvl w:ilvl="0" w:tplc="7F181BAE">
      <w:start w:val="1"/>
      <w:numFmt w:val="decimal"/>
      <w:lvlText w:val="%1-"/>
      <w:lvlJc w:val="left"/>
      <w:pPr>
        <w:ind w:left="720" w:hanging="360"/>
      </w:pPr>
      <w:rPr>
        <w:rFonts w:ascii="Times New Roman" w:eastAsia="Times New Roman" w:hAnsi="Times New Roman" w:cs="Times New Roman"/>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6A02FD7"/>
    <w:multiLevelType w:val="hybridMultilevel"/>
    <w:tmpl w:val="B18E21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8DA16A9"/>
    <w:multiLevelType w:val="hybridMultilevel"/>
    <w:tmpl w:val="6CAEC682"/>
    <w:lvl w:ilvl="0" w:tplc="E8D27B22">
      <w:start w:val="2"/>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6"/>
  </w:num>
  <w:num w:numId="2">
    <w:abstractNumId w:val="8"/>
  </w:num>
  <w:num w:numId="3">
    <w:abstractNumId w:val="0"/>
  </w:num>
  <w:num w:numId="4">
    <w:abstractNumId w:val="12"/>
  </w:num>
  <w:num w:numId="5">
    <w:abstractNumId w:val="2"/>
  </w:num>
  <w:num w:numId="6">
    <w:abstractNumId w:val="11"/>
  </w:num>
  <w:num w:numId="7">
    <w:abstractNumId w:val="4"/>
  </w:num>
  <w:num w:numId="8">
    <w:abstractNumId w:val="7"/>
  </w:num>
  <w:num w:numId="9">
    <w:abstractNumId w:val="1"/>
  </w:num>
  <w:num w:numId="10">
    <w:abstractNumId w:val="3"/>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A57"/>
    <w:rsid w:val="000028E2"/>
    <w:rsid w:val="0000317B"/>
    <w:rsid w:val="00003EAA"/>
    <w:rsid w:val="000101AC"/>
    <w:rsid w:val="000103AC"/>
    <w:rsid w:val="000153DF"/>
    <w:rsid w:val="00015FCF"/>
    <w:rsid w:val="000162D1"/>
    <w:rsid w:val="000201DC"/>
    <w:rsid w:val="000213F7"/>
    <w:rsid w:val="00022F55"/>
    <w:rsid w:val="00024441"/>
    <w:rsid w:val="0002462A"/>
    <w:rsid w:val="00024705"/>
    <w:rsid w:val="00024A38"/>
    <w:rsid w:val="00025C34"/>
    <w:rsid w:val="000266CE"/>
    <w:rsid w:val="00026809"/>
    <w:rsid w:val="00026840"/>
    <w:rsid w:val="00026B75"/>
    <w:rsid w:val="000329F4"/>
    <w:rsid w:val="00034A84"/>
    <w:rsid w:val="0003684F"/>
    <w:rsid w:val="00042630"/>
    <w:rsid w:val="00044A42"/>
    <w:rsid w:val="00045F9F"/>
    <w:rsid w:val="000460AD"/>
    <w:rsid w:val="00047729"/>
    <w:rsid w:val="0005152E"/>
    <w:rsid w:val="0005164A"/>
    <w:rsid w:val="00051949"/>
    <w:rsid w:val="00052255"/>
    <w:rsid w:val="0005482E"/>
    <w:rsid w:val="00054BB7"/>
    <w:rsid w:val="00061FBD"/>
    <w:rsid w:val="000624D8"/>
    <w:rsid w:val="00065AA1"/>
    <w:rsid w:val="00066AD0"/>
    <w:rsid w:val="000727D1"/>
    <w:rsid w:val="00076ACE"/>
    <w:rsid w:val="0008153F"/>
    <w:rsid w:val="00084875"/>
    <w:rsid w:val="00086237"/>
    <w:rsid w:val="0009094A"/>
    <w:rsid w:val="00097F6D"/>
    <w:rsid w:val="000A0E4F"/>
    <w:rsid w:val="000A2E47"/>
    <w:rsid w:val="000A6F5C"/>
    <w:rsid w:val="000B0358"/>
    <w:rsid w:val="000B0574"/>
    <w:rsid w:val="000B0660"/>
    <w:rsid w:val="000B2E5B"/>
    <w:rsid w:val="000B39B8"/>
    <w:rsid w:val="000B4B22"/>
    <w:rsid w:val="000B5FF6"/>
    <w:rsid w:val="000B7D73"/>
    <w:rsid w:val="000C30EA"/>
    <w:rsid w:val="000C436B"/>
    <w:rsid w:val="000C5A0E"/>
    <w:rsid w:val="000C5BDE"/>
    <w:rsid w:val="000C77BF"/>
    <w:rsid w:val="000D319A"/>
    <w:rsid w:val="000D5F94"/>
    <w:rsid w:val="000D766C"/>
    <w:rsid w:val="000E2548"/>
    <w:rsid w:val="000E7B17"/>
    <w:rsid w:val="000F3FDF"/>
    <w:rsid w:val="000F4DA5"/>
    <w:rsid w:val="000F4E50"/>
    <w:rsid w:val="000F5D4E"/>
    <w:rsid w:val="000F7C6E"/>
    <w:rsid w:val="001000C0"/>
    <w:rsid w:val="00100CBE"/>
    <w:rsid w:val="00103082"/>
    <w:rsid w:val="00115443"/>
    <w:rsid w:val="00115D2F"/>
    <w:rsid w:val="0011648C"/>
    <w:rsid w:val="00123E37"/>
    <w:rsid w:val="001260DF"/>
    <w:rsid w:val="00130070"/>
    <w:rsid w:val="00134962"/>
    <w:rsid w:val="001349DB"/>
    <w:rsid w:val="001367EA"/>
    <w:rsid w:val="001369D7"/>
    <w:rsid w:val="00140BB0"/>
    <w:rsid w:val="00141346"/>
    <w:rsid w:val="00141DFD"/>
    <w:rsid w:val="001420C5"/>
    <w:rsid w:val="0014385A"/>
    <w:rsid w:val="00145457"/>
    <w:rsid w:val="0014712D"/>
    <w:rsid w:val="00150FF0"/>
    <w:rsid w:val="00151DB5"/>
    <w:rsid w:val="00156A50"/>
    <w:rsid w:val="00157449"/>
    <w:rsid w:val="00157783"/>
    <w:rsid w:val="00157A47"/>
    <w:rsid w:val="00160699"/>
    <w:rsid w:val="00161225"/>
    <w:rsid w:val="00163B47"/>
    <w:rsid w:val="00164299"/>
    <w:rsid w:val="00164A3C"/>
    <w:rsid w:val="00165BA1"/>
    <w:rsid w:val="00167CA6"/>
    <w:rsid w:val="00167E8C"/>
    <w:rsid w:val="00170164"/>
    <w:rsid w:val="001734E0"/>
    <w:rsid w:val="00173556"/>
    <w:rsid w:val="00173C98"/>
    <w:rsid w:val="00174795"/>
    <w:rsid w:val="001754FF"/>
    <w:rsid w:val="0017748A"/>
    <w:rsid w:val="00186384"/>
    <w:rsid w:val="00190441"/>
    <w:rsid w:val="001928B8"/>
    <w:rsid w:val="00194822"/>
    <w:rsid w:val="00194E73"/>
    <w:rsid w:val="00195A57"/>
    <w:rsid w:val="001977CB"/>
    <w:rsid w:val="001A00EA"/>
    <w:rsid w:val="001A0A90"/>
    <w:rsid w:val="001A2FEC"/>
    <w:rsid w:val="001A3726"/>
    <w:rsid w:val="001A534F"/>
    <w:rsid w:val="001A5F19"/>
    <w:rsid w:val="001B0429"/>
    <w:rsid w:val="001B2B0E"/>
    <w:rsid w:val="001B33EF"/>
    <w:rsid w:val="001B6C98"/>
    <w:rsid w:val="001C0FE9"/>
    <w:rsid w:val="001C13C0"/>
    <w:rsid w:val="001C3A7A"/>
    <w:rsid w:val="001C3C62"/>
    <w:rsid w:val="001C6F24"/>
    <w:rsid w:val="001C7832"/>
    <w:rsid w:val="001D125B"/>
    <w:rsid w:val="001D28D6"/>
    <w:rsid w:val="001D2B1A"/>
    <w:rsid w:val="001D34A9"/>
    <w:rsid w:val="001D49AD"/>
    <w:rsid w:val="001D7FE5"/>
    <w:rsid w:val="001E01A7"/>
    <w:rsid w:val="001E144E"/>
    <w:rsid w:val="001E1E02"/>
    <w:rsid w:val="001E618F"/>
    <w:rsid w:val="001E6EA5"/>
    <w:rsid w:val="001E713D"/>
    <w:rsid w:val="001F1440"/>
    <w:rsid w:val="001F5688"/>
    <w:rsid w:val="001F5C6A"/>
    <w:rsid w:val="001F6D2A"/>
    <w:rsid w:val="001F7983"/>
    <w:rsid w:val="00200C4F"/>
    <w:rsid w:val="002012FA"/>
    <w:rsid w:val="0020395B"/>
    <w:rsid w:val="0020397C"/>
    <w:rsid w:val="00204043"/>
    <w:rsid w:val="00204F51"/>
    <w:rsid w:val="00214AF8"/>
    <w:rsid w:val="00215D0F"/>
    <w:rsid w:val="002167AA"/>
    <w:rsid w:val="00217240"/>
    <w:rsid w:val="00226C06"/>
    <w:rsid w:val="0023015F"/>
    <w:rsid w:val="00230BAF"/>
    <w:rsid w:val="002318D2"/>
    <w:rsid w:val="002321DD"/>
    <w:rsid w:val="0023425B"/>
    <w:rsid w:val="00235F19"/>
    <w:rsid w:val="002425B1"/>
    <w:rsid w:val="00244242"/>
    <w:rsid w:val="002444A7"/>
    <w:rsid w:val="0024594E"/>
    <w:rsid w:val="00245F0F"/>
    <w:rsid w:val="00246854"/>
    <w:rsid w:val="0025424E"/>
    <w:rsid w:val="00255AAB"/>
    <w:rsid w:val="00257014"/>
    <w:rsid w:val="00260F64"/>
    <w:rsid w:val="00265BF6"/>
    <w:rsid w:val="00272652"/>
    <w:rsid w:val="002728D8"/>
    <w:rsid w:val="0027482F"/>
    <w:rsid w:val="00274BE0"/>
    <w:rsid w:val="00275306"/>
    <w:rsid w:val="0027607B"/>
    <w:rsid w:val="00280129"/>
    <w:rsid w:val="00280B3A"/>
    <w:rsid w:val="002811FD"/>
    <w:rsid w:val="00283532"/>
    <w:rsid w:val="002836FE"/>
    <w:rsid w:val="0028484D"/>
    <w:rsid w:val="002862FE"/>
    <w:rsid w:val="00287975"/>
    <w:rsid w:val="00291B44"/>
    <w:rsid w:val="002925B9"/>
    <w:rsid w:val="00294804"/>
    <w:rsid w:val="002A1DFE"/>
    <w:rsid w:val="002A407F"/>
    <w:rsid w:val="002B257A"/>
    <w:rsid w:val="002B30AA"/>
    <w:rsid w:val="002B40AE"/>
    <w:rsid w:val="002B590F"/>
    <w:rsid w:val="002B601B"/>
    <w:rsid w:val="002B6255"/>
    <w:rsid w:val="002B68AF"/>
    <w:rsid w:val="002C09DB"/>
    <w:rsid w:val="002C195F"/>
    <w:rsid w:val="002C2CCE"/>
    <w:rsid w:val="002C3AB9"/>
    <w:rsid w:val="002C5163"/>
    <w:rsid w:val="002C66C6"/>
    <w:rsid w:val="002C6843"/>
    <w:rsid w:val="002D1FA7"/>
    <w:rsid w:val="002D3BF4"/>
    <w:rsid w:val="002E0E23"/>
    <w:rsid w:val="002E7A5A"/>
    <w:rsid w:val="002E7A7A"/>
    <w:rsid w:val="002F019D"/>
    <w:rsid w:val="002F1438"/>
    <w:rsid w:val="002F2153"/>
    <w:rsid w:val="002F3AB0"/>
    <w:rsid w:val="002F4AFC"/>
    <w:rsid w:val="002F4CF8"/>
    <w:rsid w:val="003027AA"/>
    <w:rsid w:val="00305A1B"/>
    <w:rsid w:val="00305A95"/>
    <w:rsid w:val="00307284"/>
    <w:rsid w:val="00310921"/>
    <w:rsid w:val="00310B6A"/>
    <w:rsid w:val="00310CB0"/>
    <w:rsid w:val="00311BD0"/>
    <w:rsid w:val="00312D3F"/>
    <w:rsid w:val="0031391D"/>
    <w:rsid w:val="0032085A"/>
    <w:rsid w:val="00322415"/>
    <w:rsid w:val="00323F92"/>
    <w:rsid w:val="00324AAD"/>
    <w:rsid w:val="003263CA"/>
    <w:rsid w:val="003345F5"/>
    <w:rsid w:val="00334B68"/>
    <w:rsid w:val="00335EA2"/>
    <w:rsid w:val="00337EE6"/>
    <w:rsid w:val="003402BA"/>
    <w:rsid w:val="00342461"/>
    <w:rsid w:val="0034356A"/>
    <w:rsid w:val="0034521B"/>
    <w:rsid w:val="00347889"/>
    <w:rsid w:val="00350812"/>
    <w:rsid w:val="00350F05"/>
    <w:rsid w:val="00352D14"/>
    <w:rsid w:val="003545A3"/>
    <w:rsid w:val="00354718"/>
    <w:rsid w:val="003559F8"/>
    <w:rsid w:val="00357042"/>
    <w:rsid w:val="00360937"/>
    <w:rsid w:val="00362B50"/>
    <w:rsid w:val="00365670"/>
    <w:rsid w:val="00365FA8"/>
    <w:rsid w:val="003664F4"/>
    <w:rsid w:val="00366B5B"/>
    <w:rsid w:val="00370273"/>
    <w:rsid w:val="00370E02"/>
    <w:rsid w:val="00372837"/>
    <w:rsid w:val="0037478D"/>
    <w:rsid w:val="0037767C"/>
    <w:rsid w:val="00380976"/>
    <w:rsid w:val="00381994"/>
    <w:rsid w:val="00384B60"/>
    <w:rsid w:val="00386208"/>
    <w:rsid w:val="00387818"/>
    <w:rsid w:val="00390A10"/>
    <w:rsid w:val="003928CF"/>
    <w:rsid w:val="00395E11"/>
    <w:rsid w:val="00397E16"/>
    <w:rsid w:val="003A0E06"/>
    <w:rsid w:val="003A2C0B"/>
    <w:rsid w:val="003A56CD"/>
    <w:rsid w:val="003B1D75"/>
    <w:rsid w:val="003B2B4E"/>
    <w:rsid w:val="003B3534"/>
    <w:rsid w:val="003B38A2"/>
    <w:rsid w:val="003B61A8"/>
    <w:rsid w:val="003B676D"/>
    <w:rsid w:val="003C1128"/>
    <w:rsid w:val="003C622F"/>
    <w:rsid w:val="003C6866"/>
    <w:rsid w:val="003D04D1"/>
    <w:rsid w:val="003D0E39"/>
    <w:rsid w:val="003D0E4F"/>
    <w:rsid w:val="003D40B1"/>
    <w:rsid w:val="003D58FE"/>
    <w:rsid w:val="003E0AB7"/>
    <w:rsid w:val="003E0C3C"/>
    <w:rsid w:val="003E0E78"/>
    <w:rsid w:val="003E112F"/>
    <w:rsid w:val="003E592D"/>
    <w:rsid w:val="003E5D77"/>
    <w:rsid w:val="003F531B"/>
    <w:rsid w:val="003F732F"/>
    <w:rsid w:val="003F79B9"/>
    <w:rsid w:val="00401C69"/>
    <w:rsid w:val="00402194"/>
    <w:rsid w:val="004039BF"/>
    <w:rsid w:val="0040470E"/>
    <w:rsid w:val="00404D71"/>
    <w:rsid w:val="00406BF1"/>
    <w:rsid w:val="004100B4"/>
    <w:rsid w:val="0041571C"/>
    <w:rsid w:val="00416C06"/>
    <w:rsid w:val="00421BA9"/>
    <w:rsid w:val="00424A57"/>
    <w:rsid w:val="00424C3F"/>
    <w:rsid w:val="00426629"/>
    <w:rsid w:val="00432CCD"/>
    <w:rsid w:val="00433639"/>
    <w:rsid w:val="00433AB6"/>
    <w:rsid w:val="00436A48"/>
    <w:rsid w:val="00437693"/>
    <w:rsid w:val="00443118"/>
    <w:rsid w:val="004438F8"/>
    <w:rsid w:val="00444A92"/>
    <w:rsid w:val="004501B4"/>
    <w:rsid w:val="00452348"/>
    <w:rsid w:val="0045593F"/>
    <w:rsid w:val="00457496"/>
    <w:rsid w:val="00460F66"/>
    <w:rsid w:val="00461F3B"/>
    <w:rsid w:val="00461FEC"/>
    <w:rsid w:val="004636CD"/>
    <w:rsid w:val="00463DE9"/>
    <w:rsid w:val="00464371"/>
    <w:rsid w:val="00465CFE"/>
    <w:rsid w:val="0046718F"/>
    <w:rsid w:val="00467B92"/>
    <w:rsid w:val="00471518"/>
    <w:rsid w:val="00474656"/>
    <w:rsid w:val="00474E2D"/>
    <w:rsid w:val="00482ACF"/>
    <w:rsid w:val="00485079"/>
    <w:rsid w:val="00487202"/>
    <w:rsid w:val="00490AF6"/>
    <w:rsid w:val="00496149"/>
    <w:rsid w:val="00496FF7"/>
    <w:rsid w:val="00497F25"/>
    <w:rsid w:val="004A2853"/>
    <w:rsid w:val="004A3B3A"/>
    <w:rsid w:val="004A3F35"/>
    <w:rsid w:val="004A70FE"/>
    <w:rsid w:val="004A7C0F"/>
    <w:rsid w:val="004B3E26"/>
    <w:rsid w:val="004B4C96"/>
    <w:rsid w:val="004B6E06"/>
    <w:rsid w:val="004C0F0F"/>
    <w:rsid w:val="004C2ED1"/>
    <w:rsid w:val="004C32E1"/>
    <w:rsid w:val="004C7074"/>
    <w:rsid w:val="004C768E"/>
    <w:rsid w:val="004D124C"/>
    <w:rsid w:val="004D1DA3"/>
    <w:rsid w:val="004D2184"/>
    <w:rsid w:val="004D3947"/>
    <w:rsid w:val="004D4C9F"/>
    <w:rsid w:val="004E1804"/>
    <w:rsid w:val="004E6DA1"/>
    <w:rsid w:val="004E784B"/>
    <w:rsid w:val="004F08C7"/>
    <w:rsid w:val="004F0A9A"/>
    <w:rsid w:val="004F128F"/>
    <w:rsid w:val="004F3918"/>
    <w:rsid w:val="004F3DD9"/>
    <w:rsid w:val="004F5F57"/>
    <w:rsid w:val="004F69AC"/>
    <w:rsid w:val="004F7FEF"/>
    <w:rsid w:val="005029AC"/>
    <w:rsid w:val="00506A4B"/>
    <w:rsid w:val="00507283"/>
    <w:rsid w:val="0050746C"/>
    <w:rsid w:val="00513386"/>
    <w:rsid w:val="00515828"/>
    <w:rsid w:val="00517A6C"/>
    <w:rsid w:val="00525543"/>
    <w:rsid w:val="00527492"/>
    <w:rsid w:val="005301E5"/>
    <w:rsid w:val="00530235"/>
    <w:rsid w:val="00534709"/>
    <w:rsid w:val="00534A4F"/>
    <w:rsid w:val="00536B70"/>
    <w:rsid w:val="005417D7"/>
    <w:rsid w:val="00542406"/>
    <w:rsid w:val="00545350"/>
    <w:rsid w:val="005473EB"/>
    <w:rsid w:val="0055219F"/>
    <w:rsid w:val="0055504A"/>
    <w:rsid w:val="005566F8"/>
    <w:rsid w:val="00557367"/>
    <w:rsid w:val="00557A5A"/>
    <w:rsid w:val="0056171E"/>
    <w:rsid w:val="005621D6"/>
    <w:rsid w:val="00562D9A"/>
    <w:rsid w:val="00562FD9"/>
    <w:rsid w:val="0056753A"/>
    <w:rsid w:val="00571EEC"/>
    <w:rsid w:val="0057624B"/>
    <w:rsid w:val="005771D2"/>
    <w:rsid w:val="00582B45"/>
    <w:rsid w:val="00583A9E"/>
    <w:rsid w:val="0058475B"/>
    <w:rsid w:val="00584E8E"/>
    <w:rsid w:val="00585A6C"/>
    <w:rsid w:val="005861DD"/>
    <w:rsid w:val="005863A3"/>
    <w:rsid w:val="0059051E"/>
    <w:rsid w:val="005905E6"/>
    <w:rsid w:val="005928B2"/>
    <w:rsid w:val="00592D20"/>
    <w:rsid w:val="005933C1"/>
    <w:rsid w:val="005939D1"/>
    <w:rsid w:val="00593C95"/>
    <w:rsid w:val="00593E4A"/>
    <w:rsid w:val="00594CA0"/>
    <w:rsid w:val="00595455"/>
    <w:rsid w:val="005966F5"/>
    <w:rsid w:val="005979E5"/>
    <w:rsid w:val="005A356A"/>
    <w:rsid w:val="005A6EA0"/>
    <w:rsid w:val="005B0D6B"/>
    <w:rsid w:val="005B1AB1"/>
    <w:rsid w:val="005B235C"/>
    <w:rsid w:val="005B2C4F"/>
    <w:rsid w:val="005B37F5"/>
    <w:rsid w:val="005C3A20"/>
    <w:rsid w:val="005C495C"/>
    <w:rsid w:val="005C561A"/>
    <w:rsid w:val="005C6C0D"/>
    <w:rsid w:val="005D2701"/>
    <w:rsid w:val="005D30A3"/>
    <w:rsid w:val="005D5F08"/>
    <w:rsid w:val="005E446A"/>
    <w:rsid w:val="005F0831"/>
    <w:rsid w:val="005F2AB9"/>
    <w:rsid w:val="005F3421"/>
    <w:rsid w:val="005F5A31"/>
    <w:rsid w:val="005F5FCB"/>
    <w:rsid w:val="005F733E"/>
    <w:rsid w:val="00605634"/>
    <w:rsid w:val="00606F8C"/>
    <w:rsid w:val="00611FCB"/>
    <w:rsid w:val="00614F83"/>
    <w:rsid w:val="00616D2A"/>
    <w:rsid w:val="00624277"/>
    <w:rsid w:val="00625B9C"/>
    <w:rsid w:val="0062734F"/>
    <w:rsid w:val="00630707"/>
    <w:rsid w:val="00630D13"/>
    <w:rsid w:val="00630FCB"/>
    <w:rsid w:val="00632DB9"/>
    <w:rsid w:val="00632FEA"/>
    <w:rsid w:val="00634BA1"/>
    <w:rsid w:val="00634CCE"/>
    <w:rsid w:val="0064100A"/>
    <w:rsid w:val="00643612"/>
    <w:rsid w:val="00643E25"/>
    <w:rsid w:val="006441F8"/>
    <w:rsid w:val="00646F91"/>
    <w:rsid w:val="00647CB3"/>
    <w:rsid w:val="00650C14"/>
    <w:rsid w:val="00650ECB"/>
    <w:rsid w:val="00651229"/>
    <w:rsid w:val="00651704"/>
    <w:rsid w:val="00651CBF"/>
    <w:rsid w:val="00651E9C"/>
    <w:rsid w:val="006555DF"/>
    <w:rsid w:val="00657BD3"/>
    <w:rsid w:val="006629C8"/>
    <w:rsid w:val="006664D3"/>
    <w:rsid w:val="0066688C"/>
    <w:rsid w:val="00667308"/>
    <w:rsid w:val="00670548"/>
    <w:rsid w:val="006711DA"/>
    <w:rsid w:val="00680B6E"/>
    <w:rsid w:val="00682C62"/>
    <w:rsid w:val="00682DC7"/>
    <w:rsid w:val="00683636"/>
    <w:rsid w:val="00683E56"/>
    <w:rsid w:val="00685426"/>
    <w:rsid w:val="00686CC9"/>
    <w:rsid w:val="00687EBA"/>
    <w:rsid w:val="00691B55"/>
    <w:rsid w:val="00692B18"/>
    <w:rsid w:val="00694FAA"/>
    <w:rsid w:val="006951CA"/>
    <w:rsid w:val="00695755"/>
    <w:rsid w:val="0069593B"/>
    <w:rsid w:val="006A003B"/>
    <w:rsid w:val="006A118C"/>
    <w:rsid w:val="006A1AB4"/>
    <w:rsid w:val="006A2254"/>
    <w:rsid w:val="006A26F4"/>
    <w:rsid w:val="006A4EA2"/>
    <w:rsid w:val="006B048C"/>
    <w:rsid w:val="006B1F21"/>
    <w:rsid w:val="006B323B"/>
    <w:rsid w:val="006B4074"/>
    <w:rsid w:val="006C0708"/>
    <w:rsid w:val="006C080C"/>
    <w:rsid w:val="006C23C5"/>
    <w:rsid w:val="006C68B9"/>
    <w:rsid w:val="006D06C6"/>
    <w:rsid w:val="006D1B5C"/>
    <w:rsid w:val="006D2DE2"/>
    <w:rsid w:val="006E0678"/>
    <w:rsid w:val="006E12CC"/>
    <w:rsid w:val="006E2208"/>
    <w:rsid w:val="006E3BEE"/>
    <w:rsid w:val="006E544A"/>
    <w:rsid w:val="006F11DC"/>
    <w:rsid w:val="006F141C"/>
    <w:rsid w:val="006F1C7D"/>
    <w:rsid w:val="006F3048"/>
    <w:rsid w:val="006F47F6"/>
    <w:rsid w:val="006F5A27"/>
    <w:rsid w:val="006F62E6"/>
    <w:rsid w:val="006F6BFD"/>
    <w:rsid w:val="006F758D"/>
    <w:rsid w:val="006F76DA"/>
    <w:rsid w:val="00701269"/>
    <w:rsid w:val="00701A17"/>
    <w:rsid w:val="0070418B"/>
    <w:rsid w:val="00705A1A"/>
    <w:rsid w:val="0070762F"/>
    <w:rsid w:val="00711BE7"/>
    <w:rsid w:val="00713933"/>
    <w:rsid w:val="00713F4C"/>
    <w:rsid w:val="007168AC"/>
    <w:rsid w:val="00716EEF"/>
    <w:rsid w:val="00720B6D"/>
    <w:rsid w:val="00722EC4"/>
    <w:rsid w:val="007239BB"/>
    <w:rsid w:val="00723F1B"/>
    <w:rsid w:val="0072649B"/>
    <w:rsid w:val="00735BA9"/>
    <w:rsid w:val="00736228"/>
    <w:rsid w:val="00740167"/>
    <w:rsid w:val="00742D5B"/>
    <w:rsid w:val="00743484"/>
    <w:rsid w:val="00743716"/>
    <w:rsid w:val="0074474B"/>
    <w:rsid w:val="00744983"/>
    <w:rsid w:val="00746108"/>
    <w:rsid w:val="0074789B"/>
    <w:rsid w:val="00752FFD"/>
    <w:rsid w:val="007574F9"/>
    <w:rsid w:val="0075753D"/>
    <w:rsid w:val="00762907"/>
    <w:rsid w:val="00762F4D"/>
    <w:rsid w:val="007638D1"/>
    <w:rsid w:val="007652ED"/>
    <w:rsid w:val="00770800"/>
    <w:rsid w:val="007717E0"/>
    <w:rsid w:val="00772C85"/>
    <w:rsid w:val="007774E7"/>
    <w:rsid w:val="00777889"/>
    <w:rsid w:val="007809AD"/>
    <w:rsid w:val="00781448"/>
    <w:rsid w:val="0078299B"/>
    <w:rsid w:val="007831F0"/>
    <w:rsid w:val="0078411A"/>
    <w:rsid w:val="00784C1C"/>
    <w:rsid w:val="00787C36"/>
    <w:rsid w:val="00791957"/>
    <w:rsid w:val="00791DA7"/>
    <w:rsid w:val="007952FF"/>
    <w:rsid w:val="00797860"/>
    <w:rsid w:val="007A0988"/>
    <w:rsid w:val="007A3630"/>
    <w:rsid w:val="007A3C59"/>
    <w:rsid w:val="007A5230"/>
    <w:rsid w:val="007A5A52"/>
    <w:rsid w:val="007B1402"/>
    <w:rsid w:val="007B43B4"/>
    <w:rsid w:val="007B5563"/>
    <w:rsid w:val="007C302F"/>
    <w:rsid w:val="007C69F4"/>
    <w:rsid w:val="007D00A9"/>
    <w:rsid w:val="007D192E"/>
    <w:rsid w:val="007D3C1E"/>
    <w:rsid w:val="007D41E1"/>
    <w:rsid w:val="007D5744"/>
    <w:rsid w:val="007D7328"/>
    <w:rsid w:val="007E3477"/>
    <w:rsid w:val="007E4130"/>
    <w:rsid w:val="007E5A73"/>
    <w:rsid w:val="007E6577"/>
    <w:rsid w:val="007F1720"/>
    <w:rsid w:val="007F3B6D"/>
    <w:rsid w:val="007F3DD1"/>
    <w:rsid w:val="007F75C9"/>
    <w:rsid w:val="007F7A91"/>
    <w:rsid w:val="00801918"/>
    <w:rsid w:val="0080272A"/>
    <w:rsid w:val="00803EDD"/>
    <w:rsid w:val="00803F33"/>
    <w:rsid w:val="008100FC"/>
    <w:rsid w:val="00810D9E"/>
    <w:rsid w:val="00813421"/>
    <w:rsid w:val="00814C13"/>
    <w:rsid w:val="0081627D"/>
    <w:rsid w:val="00823BAE"/>
    <w:rsid w:val="00825B27"/>
    <w:rsid w:val="0082619B"/>
    <w:rsid w:val="008305B2"/>
    <w:rsid w:val="008324F2"/>
    <w:rsid w:val="00832633"/>
    <w:rsid w:val="00832697"/>
    <w:rsid w:val="00833079"/>
    <w:rsid w:val="00835629"/>
    <w:rsid w:val="00836063"/>
    <w:rsid w:val="00837C99"/>
    <w:rsid w:val="00841C40"/>
    <w:rsid w:val="00844E48"/>
    <w:rsid w:val="00846542"/>
    <w:rsid w:val="00846FE8"/>
    <w:rsid w:val="0084740D"/>
    <w:rsid w:val="0085000B"/>
    <w:rsid w:val="00851E3D"/>
    <w:rsid w:val="00851EE3"/>
    <w:rsid w:val="00852D60"/>
    <w:rsid w:val="0085711A"/>
    <w:rsid w:val="008622B1"/>
    <w:rsid w:val="00863EDD"/>
    <w:rsid w:val="008659D2"/>
    <w:rsid w:val="00865D6A"/>
    <w:rsid w:val="00866860"/>
    <w:rsid w:val="008679EC"/>
    <w:rsid w:val="00867BE5"/>
    <w:rsid w:val="00870225"/>
    <w:rsid w:val="008702BE"/>
    <w:rsid w:val="008712F3"/>
    <w:rsid w:val="0087197D"/>
    <w:rsid w:val="00871BC1"/>
    <w:rsid w:val="00872956"/>
    <w:rsid w:val="00873913"/>
    <w:rsid w:val="0087600C"/>
    <w:rsid w:val="00880BD9"/>
    <w:rsid w:val="00881CE5"/>
    <w:rsid w:val="008835B2"/>
    <w:rsid w:val="00883BB1"/>
    <w:rsid w:val="0088537C"/>
    <w:rsid w:val="008863A7"/>
    <w:rsid w:val="008864AA"/>
    <w:rsid w:val="00887471"/>
    <w:rsid w:val="00890108"/>
    <w:rsid w:val="00890884"/>
    <w:rsid w:val="00892D39"/>
    <w:rsid w:val="0089303F"/>
    <w:rsid w:val="00894440"/>
    <w:rsid w:val="00897A24"/>
    <w:rsid w:val="008A274B"/>
    <w:rsid w:val="008A6163"/>
    <w:rsid w:val="008A7AE8"/>
    <w:rsid w:val="008B328A"/>
    <w:rsid w:val="008B3981"/>
    <w:rsid w:val="008B40E3"/>
    <w:rsid w:val="008C010C"/>
    <w:rsid w:val="008C0484"/>
    <w:rsid w:val="008C0B08"/>
    <w:rsid w:val="008C1B77"/>
    <w:rsid w:val="008C2317"/>
    <w:rsid w:val="008C2BFA"/>
    <w:rsid w:val="008C3EDA"/>
    <w:rsid w:val="008C4BCC"/>
    <w:rsid w:val="008C5A9F"/>
    <w:rsid w:val="008C6EF3"/>
    <w:rsid w:val="008D0F9F"/>
    <w:rsid w:val="008D3AA8"/>
    <w:rsid w:val="008D3BE7"/>
    <w:rsid w:val="008D4883"/>
    <w:rsid w:val="008D64BD"/>
    <w:rsid w:val="008E2799"/>
    <w:rsid w:val="008E373C"/>
    <w:rsid w:val="008E3B2A"/>
    <w:rsid w:val="008E4C68"/>
    <w:rsid w:val="008F0526"/>
    <w:rsid w:val="008F07B0"/>
    <w:rsid w:val="008F1194"/>
    <w:rsid w:val="00902BC7"/>
    <w:rsid w:val="00904C47"/>
    <w:rsid w:val="00906B47"/>
    <w:rsid w:val="00911632"/>
    <w:rsid w:val="009151E9"/>
    <w:rsid w:val="009155B9"/>
    <w:rsid w:val="009158A7"/>
    <w:rsid w:val="0091736B"/>
    <w:rsid w:val="00917411"/>
    <w:rsid w:val="009200C6"/>
    <w:rsid w:val="00920A46"/>
    <w:rsid w:val="00921011"/>
    <w:rsid w:val="009216D1"/>
    <w:rsid w:val="0092317B"/>
    <w:rsid w:val="009268FC"/>
    <w:rsid w:val="00926BC7"/>
    <w:rsid w:val="00931633"/>
    <w:rsid w:val="00943666"/>
    <w:rsid w:val="009512A0"/>
    <w:rsid w:val="009558B6"/>
    <w:rsid w:val="00956C7F"/>
    <w:rsid w:val="00960AAB"/>
    <w:rsid w:val="00960B9F"/>
    <w:rsid w:val="0096780E"/>
    <w:rsid w:val="009679A4"/>
    <w:rsid w:val="00967CD1"/>
    <w:rsid w:val="00970C26"/>
    <w:rsid w:val="00973145"/>
    <w:rsid w:val="00974618"/>
    <w:rsid w:val="009828C0"/>
    <w:rsid w:val="00983025"/>
    <w:rsid w:val="009833B0"/>
    <w:rsid w:val="00987281"/>
    <w:rsid w:val="00990AA5"/>
    <w:rsid w:val="00990CB2"/>
    <w:rsid w:val="0099136F"/>
    <w:rsid w:val="0099432D"/>
    <w:rsid w:val="0099495B"/>
    <w:rsid w:val="00996CD3"/>
    <w:rsid w:val="00997AD9"/>
    <w:rsid w:val="009A070F"/>
    <w:rsid w:val="009A08E3"/>
    <w:rsid w:val="009A6374"/>
    <w:rsid w:val="009A74E3"/>
    <w:rsid w:val="009B1F02"/>
    <w:rsid w:val="009B2172"/>
    <w:rsid w:val="009B518F"/>
    <w:rsid w:val="009C0A06"/>
    <w:rsid w:val="009C1479"/>
    <w:rsid w:val="009C168C"/>
    <w:rsid w:val="009C1A3F"/>
    <w:rsid w:val="009C5BF3"/>
    <w:rsid w:val="009C6DE8"/>
    <w:rsid w:val="009D013D"/>
    <w:rsid w:val="009D62C1"/>
    <w:rsid w:val="009D6D96"/>
    <w:rsid w:val="009E0DA5"/>
    <w:rsid w:val="009E100A"/>
    <w:rsid w:val="009E12AF"/>
    <w:rsid w:val="009E1BE5"/>
    <w:rsid w:val="009E5315"/>
    <w:rsid w:val="009E567C"/>
    <w:rsid w:val="009E57A7"/>
    <w:rsid w:val="009E6F72"/>
    <w:rsid w:val="009E79DE"/>
    <w:rsid w:val="009E7E1B"/>
    <w:rsid w:val="009F0AA9"/>
    <w:rsid w:val="009F2BD6"/>
    <w:rsid w:val="009F3810"/>
    <w:rsid w:val="009F5F54"/>
    <w:rsid w:val="009F726C"/>
    <w:rsid w:val="00A000FA"/>
    <w:rsid w:val="00A04046"/>
    <w:rsid w:val="00A06385"/>
    <w:rsid w:val="00A064AC"/>
    <w:rsid w:val="00A12642"/>
    <w:rsid w:val="00A200C3"/>
    <w:rsid w:val="00A20571"/>
    <w:rsid w:val="00A30F5A"/>
    <w:rsid w:val="00A32398"/>
    <w:rsid w:val="00A344D2"/>
    <w:rsid w:val="00A3661D"/>
    <w:rsid w:val="00A43229"/>
    <w:rsid w:val="00A45615"/>
    <w:rsid w:val="00A4655A"/>
    <w:rsid w:val="00A47360"/>
    <w:rsid w:val="00A47365"/>
    <w:rsid w:val="00A54F13"/>
    <w:rsid w:val="00A62CD6"/>
    <w:rsid w:val="00A6410F"/>
    <w:rsid w:val="00A65F51"/>
    <w:rsid w:val="00A669B6"/>
    <w:rsid w:val="00A6761B"/>
    <w:rsid w:val="00A764DC"/>
    <w:rsid w:val="00A7671E"/>
    <w:rsid w:val="00A8380E"/>
    <w:rsid w:val="00A83A39"/>
    <w:rsid w:val="00A8436B"/>
    <w:rsid w:val="00A852A1"/>
    <w:rsid w:val="00A86552"/>
    <w:rsid w:val="00A930B9"/>
    <w:rsid w:val="00A95A14"/>
    <w:rsid w:val="00A97CFC"/>
    <w:rsid w:val="00AA2711"/>
    <w:rsid w:val="00AB168E"/>
    <w:rsid w:val="00AB230A"/>
    <w:rsid w:val="00AB3E24"/>
    <w:rsid w:val="00AB5505"/>
    <w:rsid w:val="00AB60BF"/>
    <w:rsid w:val="00AB706A"/>
    <w:rsid w:val="00AC140D"/>
    <w:rsid w:val="00AC2508"/>
    <w:rsid w:val="00AC4FF0"/>
    <w:rsid w:val="00AC5EB0"/>
    <w:rsid w:val="00AC77CC"/>
    <w:rsid w:val="00AD2DBB"/>
    <w:rsid w:val="00AD352C"/>
    <w:rsid w:val="00AD3984"/>
    <w:rsid w:val="00AD55DA"/>
    <w:rsid w:val="00AD5FB7"/>
    <w:rsid w:val="00AE21D3"/>
    <w:rsid w:val="00AE2A5E"/>
    <w:rsid w:val="00AF12D9"/>
    <w:rsid w:val="00AF4EA6"/>
    <w:rsid w:val="00AF5835"/>
    <w:rsid w:val="00AF5D6C"/>
    <w:rsid w:val="00AF5DB8"/>
    <w:rsid w:val="00AF67C5"/>
    <w:rsid w:val="00B00FA9"/>
    <w:rsid w:val="00B038F5"/>
    <w:rsid w:val="00B041B2"/>
    <w:rsid w:val="00B10448"/>
    <w:rsid w:val="00B14488"/>
    <w:rsid w:val="00B15AA5"/>
    <w:rsid w:val="00B17172"/>
    <w:rsid w:val="00B20BAE"/>
    <w:rsid w:val="00B223AB"/>
    <w:rsid w:val="00B311E5"/>
    <w:rsid w:val="00B33F1F"/>
    <w:rsid w:val="00B33FC5"/>
    <w:rsid w:val="00B3707F"/>
    <w:rsid w:val="00B37304"/>
    <w:rsid w:val="00B41E1F"/>
    <w:rsid w:val="00B432E2"/>
    <w:rsid w:val="00B45A3B"/>
    <w:rsid w:val="00B51EB2"/>
    <w:rsid w:val="00B55708"/>
    <w:rsid w:val="00B57F44"/>
    <w:rsid w:val="00B60047"/>
    <w:rsid w:val="00B617BD"/>
    <w:rsid w:val="00B61864"/>
    <w:rsid w:val="00B624C8"/>
    <w:rsid w:val="00B6400D"/>
    <w:rsid w:val="00B654C2"/>
    <w:rsid w:val="00B65F8C"/>
    <w:rsid w:val="00B662CD"/>
    <w:rsid w:val="00B66DDB"/>
    <w:rsid w:val="00B6774D"/>
    <w:rsid w:val="00B71482"/>
    <w:rsid w:val="00B739A9"/>
    <w:rsid w:val="00B7430C"/>
    <w:rsid w:val="00B7474C"/>
    <w:rsid w:val="00B808A4"/>
    <w:rsid w:val="00B80A39"/>
    <w:rsid w:val="00B811F7"/>
    <w:rsid w:val="00B8229C"/>
    <w:rsid w:val="00B824EB"/>
    <w:rsid w:val="00B8339A"/>
    <w:rsid w:val="00B83748"/>
    <w:rsid w:val="00B84673"/>
    <w:rsid w:val="00B85012"/>
    <w:rsid w:val="00B857AA"/>
    <w:rsid w:val="00B85A02"/>
    <w:rsid w:val="00B86902"/>
    <w:rsid w:val="00B90A8D"/>
    <w:rsid w:val="00B90AB6"/>
    <w:rsid w:val="00B94956"/>
    <w:rsid w:val="00B97961"/>
    <w:rsid w:val="00BB1D5A"/>
    <w:rsid w:val="00BB1FF8"/>
    <w:rsid w:val="00BB3A98"/>
    <w:rsid w:val="00BB3E90"/>
    <w:rsid w:val="00BB43FE"/>
    <w:rsid w:val="00BB4865"/>
    <w:rsid w:val="00BB5AB2"/>
    <w:rsid w:val="00BB5ACE"/>
    <w:rsid w:val="00BB61D2"/>
    <w:rsid w:val="00BB7749"/>
    <w:rsid w:val="00BC1898"/>
    <w:rsid w:val="00BC3108"/>
    <w:rsid w:val="00BC360D"/>
    <w:rsid w:val="00BC735F"/>
    <w:rsid w:val="00BD08F8"/>
    <w:rsid w:val="00BD0CDB"/>
    <w:rsid w:val="00BD0F9A"/>
    <w:rsid w:val="00BD7992"/>
    <w:rsid w:val="00BE1B13"/>
    <w:rsid w:val="00BE383D"/>
    <w:rsid w:val="00BE629A"/>
    <w:rsid w:val="00BF4DDB"/>
    <w:rsid w:val="00BF58F6"/>
    <w:rsid w:val="00BF5CF0"/>
    <w:rsid w:val="00BF701B"/>
    <w:rsid w:val="00BF79DF"/>
    <w:rsid w:val="00C03468"/>
    <w:rsid w:val="00C04D92"/>
    <w:rsid w:val="00C109B0"/>
    <w:rsid w:val="00C1107F"/>
    <w:rsid w:val="00C118B3"/>
    <w:rsid w:val="00C11E8A"/>
    <w:rsid w:val="00C12A06"/>
    <w:rsid w:val="00C12CD6"/>
    <w:rsid w:val="00C13D07"/>
    <w:rsid w:val="00C20EED"/>
    <w:rsid w:val="00C23EF0"/>
    <w:rsid w:val="00C249B6"/>
    <w:rsid w:val="00C26070"/>
    <w:rsid w:val="00C26701"/>
    <w:rsid w:val="00C32CAB"/>
    <w:rsid w:val="00C34265"/>
    <w:rsid w:val="00C40958"/>
    <w:rsid w:val="00C4122F"/>
    <w:rsid w:val="00C41D2C"/>
    <w:rsid w:val="00C42DCE"/>
    <w:rsid w:val="00C43245"/>
    <w:rsid w:val="00C460DB"/>
    <w:rsid w:val="00C461D1"/>
    <w:rsid w:val="00C4661C"/>
    <w:rsid w:val="00C467FF"/>
    <w:rsid w:val="00C46D65"/>
    <w:rsid w:val="00C50256"/>
    <w:rsid w:val="00C5037C"/>
    <w:rsid w:val="00C50702"/>
    <w:rsid w:val="00C50DC6"/>
    <w:rsid w:val="00C5346A"/>
    <w:rsid w:val="00C54D44"/>
    <w:rsid w:val="00C617C1"/>
    <w:rsid w:val="00C6203D"/>
    <w:rsid w:val="00C6448A"/>
    <w:rsid w:val="00C64643"/>
    <w:rsid w:val="00C72563"/>
    <w:rsid w:val="00C73C10"/>
    <w:rsid w:val="00C73CCA"/>
    <w:rsid w:val="00C80AB9"/>
    <w:rsid w:val="00C82ABA"/>
    <w:rsid w:val="00C82DD7"/>
    <w:rsid w:val="00C84882"/>
    <w:rsid w:val="00C8579D"/>
    <w:rsid w:val="00C91744"/>
    <w:rsid w:val="00C91A98"/>
    <w:rsid w:val="00C9309C"/>
    <w:rsid w:val="00C951D6"/>
    <w:rsid w:val="00CA098F"/>
    <w:rsid w:val="00CA19B2"/>
    <w:rsid w:val="00CA4C40"/>
    <w:rsid w:val="00CA5341"/>
    <w:rsid w:val="00CA544B"/>
    <w:rsid w:val="00CA54B5"/>
    <w:rsid w:val="00CA7A39"/>
    <w:rsid w:val="00CA7A4F"/>
    <w:rsid w:val="00CB2572"/>
    <w:rsid w:val="00CB3A7C"/>
    <w:rsid w:val="00CB4FAF"/>
    <w:rsid w:val="00CB5978"/>
    <w:rsid w:val="00CB67E9"/>
    <w:rsid w:val="00CC0654"/>
    <w:rsid w:val="00CC18AA"/>
    <w:rsid w:val="00CC2A2D"/>
    <w:rsid w:val="00CC3294"/>
    <w:rsid w:val="00CC34AE"/>
    <w:rsid w:val="00CC74CF"/>
    <w:rsid w:val="00CC7FAF"/>
    <w:rsid w:val="00CD09BD"/>
    <w:rsid w:val="00CD1184"/>
    <w:rsid w:val="00CD1FFE"/>
    <w:rsid w:val="00CD27D4"/>
    <w:rsid w:val="00CD2D6E"/>
    <w:rsid w:val="00CD3811"/>
    <w:rsid w:val="00CD7CA8"/>
    <w:rsid w:val="00CE0676"/>
    <w:rsid w:val="00CE2243"/>
    <w:rsid w:val="00CE4846"/>
    <w:rsid w:val="00CF2A15"/>
    <w:rsid w:val="00CF41CC"/>
    <w:rsid w:val="00CF4462"/>
    <w:rsid w:val="00D0377E"/>
    <w:rsid w:val="00D040BE"/>
    <w:rsid w:val="00D117FB"/>
    <w:rsid w:val="00D13282"/>
    <w:rsid w:val="00D16F05"/>
    <w:rsid w:val="00D21251"/>
    <w:rsid w:val="00D24B6B"/>
    <w:rsid w:val="00D24DAA"/>
    <w:rsid w:val="00D279A6"/>
    <w:rsid w:val="00D33232"/>
    <w:rsid w:val="00D36861"/>
    <w:rsid w:val="00D4593B"/>
    <w:rsid w:val="00D459A2"/>
    <w:rsid w:val="00D47DF8"/>
    <w:rsid w:val="00D52A35"/>
    <w:rsid w:val="00D52B47"/>
    <w:rsid w:val="00D53282"/>
    <w:rsid w:val="00D53650"/>
    <w:rsid w:val="00D548CB"/>
    <w:rsid w:val="00D57264"/>
    <w:rsid w:val="00D631DE"/>
    <w:rsid w:val="00D65061"/>
    <w:rsid w:val="00D666A0"/>
    <w:rsid w:val="00D677BE"/>
    <w:rsid w:val="00D67FF7"/>
    <w:rsid w:val="00D705BE"/>
    <w:rsid w:val="00D706D0"/>
    <w:rsid w:val="00D71767"/>
    <w:rsid w:val="00D7346D"/>
    <w:rsid w:val="00D74551"/>
    <w:rsid w:val="00D76590"/>
    <w:rsid w:val="00D77B6D"/>
    <w:rsid w:val="00D8052C"/>
    <w:rsid w:val="00D8225C"/>
    <w:rsid w:val="00D86B77"/>
    <w:rsid w:val="00D87C2D"/>
    <w:rsid w:val="00D900E5"/>
    <w:rsid w:val="00D90EB8"/>
    <w:rsid w:val="00D9299A"/>
    <w:rsid w:val="00D946FB"/>
    <w:rsid w:val="00D94709"/>
    <w:rsid w:val="00D95DF9"/>
    <w:rsid w:val="00D9638E"/>
    <w:rsid w:val="00D97570"/>
    <w:rsid w:val="00DA1190"/>
    <w:rsid w:val="00DA1209"/>
    <w:rsid w:val="00DA2183"/>
    <w:rsid w:val="00DA3BAF"/>
    <w:rsid w:val="00DA4196"/>
    <w:rsid w:val="00DA4276"/>
    <w:rsid w:val="00DA4E1B"/>
    <w:rsid w:val="00DA6BAE"/>
    <w:rsid w:val="00DA7056"/>
    <w:rsid w:val="00DA78D4"/>
    <w:rsid w:val="00DB0160"/>
    <w:rsid w:val="00DB0F77"/>
    <w:rsid w:val="00DB148C"/>
    <w:rsid w:val="00DB307E"/>
    <w:rsid w:val="00DB54B4"/>
    <w:rsid w:val="00DB5B5A"/>
    <w:rsid w:val="00DC085C"/>
    <w:rsid w:val="00DC0D90"/>
    <w:rsid w:val="00DC0EB6"/>
    <w:rsid w:val="00DC142E"/>
    <w:rsid w:val="00DC171A"/>
    <w:rsid w:val="00DC19DB"/>
    <w:rsid w:val="00DC53E7"/>
    <w:rsid w:val="00DC5896"/>
    <w:rsid w:val="00DD0AA8"/>
    <w:rsid w:val="00DD1093"/>
    <w:rsid w:val="00DD1C2D"/>
    <w:rsid w:val="00DD5D37"/>
    <w:rsid w:val="00DE4A1C"/>
    <w:rsid w:val="00DE4DBF"/>
    <w:rsid w:val="00DE6AAB"/>
    <w:rsid w:val="00DF486E"/>
    <w:rsid w:val="00DF6A05"/>
    <w:rsid w:val="00E01A68"/>
    <w:rsid w:val="00E01CC8"/>
    <w:rsid w:val="00E02BD4"/>
    <w:rsid w:val="00E031C1"/>
    <w:rsid w:val="00E05D79"/>
    <w:rsid w:val="00E06EAC"/>
    <w:rsid w:val="00E105C2"/>
    <w:rsid w:val="00E10BAB"/>
    <w:rsid w:val="00E12F0F"/>
    <w:rsid w:val="00E14C9B"/>
    <w:rsid w:val="00E15242"/>
    <w:rsid w:val="00E17263"/>
    <w:rsid w:val="00E221D6"/>
    <w:rsid w:val="00E22414"/>
    <w:rsid w:val="00E2339F"/>
    <w:rsid w:val="00E24090"/>
    <w:rsid w:val="00E30AEE"/>
    <w:rsid w:val="00E311B9"/>
    <w:rsid w:val="00E31D08"/>
    <w:rsid w:val="00E3275C"/>
    <w:rsid w:val="00E32853"/>
    <w:rsid w:val="00E343FD"/>
    <w:rsid w:val="00E36DB1"/>
    <w:rsid w:val="00E37814"/>
    <w:rsid w:val="00E40197"/>
    <w:rsid w:val="00E412DE"/>
    <w:rsid w:val="00E41416"/>
    <w:rsid w:val="00E41DBA"/>
    <w:rsid w:val="00E41ED3"/>
    <w:rsid w:val="00E44C45"/>
    <w:rsid w:val="00E452F8"/>
    <w:rsid w:val="00E45565"/>
    <w:rsid w:val="00E51D97"/>
    <w:rsid w:val="00E5485E"/>
    <w:rsid w:val="00E57261"/>
    <w:rsid w:val="00E623D5"/>
    <w:rsid w:val="00E67F4F"/>
    <w:rsid w:val="00E71F92"/>
    <w:rsid w:val="00E73447"/>
    <w:rsid w:val="00E74C72"/>
    <w:rsid w:val="00E758F6"/>
    <w:rsid w:val="00E75E10"/>
    <w:rsid w:val="00E769E2"/>
    <w:rsid w:val="00E76E04"/>
    <w:rsid w:val="00E76FD2"/>
    <w:rsid w:val="00E7727E"/>
    <w:rsid w:val="00E77374"/>
    <w:rsid w:val="00E82C99"/>
    <w:rsid w:val="00E845AB"/>
    <w:rsid w:val="00E8467A"/>
    <w:rsid w:val="00E86746"/>
    <w:rsid w:val="00E9013C"/>
    <w:rsid w:val="00E901B3"/>
    <w:rsid w:val="00E91A88"/>
    <w:rsid w:val="00E955A9"/>
    <w:rsid w:val="00E95BC4"/>
    <w:rsid w:val="00E9796E"/>
    <w:rsid w:val="00EA5192"/>
    <w:rsid w:val="00EA54D9"/>
    <w:rsid w:val="00EA6F24"/>
    <w:rsid w:val="00EB1A0C"/>
    <w:rsid w:val="00EB21A7"/>
    <w:rsid w:val="00EB36C5"/>
    <w:rsid w:val="00EB5B5C"/>
    <w:rsid w:val="00EB7F07"/>
    <w:rsid w:val="00EC343F"/>
    <w:rsid w:val="00EC4EF3"/>
    <w:rsid w:val="00EC6E48"/>
    <w:rsid w:val="00ED045A"/>
    <w:rsid w:val="00ED07E5"/>
    <w:rsid w:val="00ED18BA"/>
    <w:rsid w:val="00ED1A8F"/>
    <w:rsid w:val="00ED2B50"/>
    <w:rsid w:val="00ED3157"/>
    <w:rsid w:val="00ED3635"/>
    <w:rsid w:val="00ED4778"/>
    <w:rsid w:val="00ED4D60"/>
    <w:rsid w:val="00ED6F11"/>
    <w:rsid w:val="00ED7FD1"/>
    <w:rsid w:val="00ED7FFD"/>
    <w:rsid w:val="00EE01CD"/>
    <w:rsid w:val="00EE05A6"/>
    <w:rsid w:val="00EE0631"/>
    <w:rsid w:val="00EE4C97"/>
    <w:rsid w:val="00EE589C"/>
    <w:rsid w:val="00EE778D"/>
    <w:rsid w:val="00EF006E"/>
    <w:rsid w:val="00EF2A89"/>
    <w:rsid w:val="00EF3FEE"/>
    <w:rsid w:val="00F06808"/>
    <w:rsid w:val="00F07576"/>
    <w:rsid w:val="00F07F27"/>
    <w:rsid w:val="00F10A1A"/>
    <w:rsid w:val="00F10CBD"/>
    <w:rsid w:val="00F110FF"/>
    <w:rsid w:val="00F1357D"/>
    <w:rsid w:val="00F16117"/>
    <w:rsid w:val="00F16B0A"/>
    <w:rsid w:val="00F16DF8"/>
    <w:rsid w:val="00F173BA"/>
    <w:rsid w:val="00F2176E"/>
    <w:rsid w:val="00F221F9"/>
    <w:rsid w:val="00F22E9A"/>
    <w:rsid w:val="00F318C0"/>
    <w:rsid w:val="00F32402"/>
    <w:rsid w:val="00F33877"/>
    <w:rsid w:val="00F36ADA"/>
    <w:rsid w:val="00F43F01"/>
    <w:rsid w:val="00F454C6"/>
    <w:rsid w:val="00F45CAB"/>
    <w:rsid w:val="00F47634"/>
    <w:rsid w:val="00F52032"/>
    <w:rsid w:val="00F52056"/>
    <w:rsid w:val="00F523D2"/>
    <w:rsid w:val="00F52F25"/>
    <w:rsid w:val="00F536E0"/>
    <w:rsid w:val="00F544E2"/>
    <w:rsid w:val="00F54BE2"/>
    <w:rsid w:val="00F55EBD"/>
    <w:rsid w:val="00F562CC"/>
    <w:rsid w:val="00F600B1"/>
    <w:rsid w:val="00F61594"/>
    <w:rsid w:val="00F62D97"/>
    <w:rsid w:val="00F6494E"/>
    <w:rsid w:val="00F67819"/>
    <w:rsid w:val="00F67DC4"/>
    <w:rsid w:val="00F73E06"/>
    <w:rsid w:val="00F77298"/>
    <w:rsid w:val="00F812AA"/>
    <w:rsid w:val="00F82AF5"/>
    <w:rsid w:val="00F82AF8"/>
    <w:rsid w:val="00F83543"/>
    <w:rsid w:val="00F8490C"/>
    <w:rsid w:val="00F85A0B"/>
    <w:rsid w:val="00F90C54"/>
    <w:rsid w:val="00F917DE"/>
    <w:rsid w:val="00F9278C"/>
    <w:rsid w:val="00F93DB2"/>
    <w:rsid w:val="00F946D9"/>
    <w:rsid w:val="00F96782"/>
    <w:rsid w:val="00F9769C"/>
    <w:rsid w:val="00FA014E"/>
    <w:rsid w:val="00FA1370"/>
    <w:rsid w:val="00FA17C1"/>
    <w:rsid w:val="00FA2BAE"/>
    <w:rsid w:val="00FA6106"/>
    <w:rsid w:val="00FA7716"/>
    <w:rsid w:val="00FB27AD"/>
    <w:rsid w:val="00FB3071"/>
    <w:rsid w:val="00FB3A91"/>
    <w:rsid w:val="00FB3BEC"/>
    <w:rsid w:val="00FB6ABB"/>
    <w:rsid w:val="00FC363D"/>
    <w:rsid w:val="00FC3FAD"/>
    <w:rsid w:val="00FC4334"/>
    <w:rsid w:val="00FC663A"/>
    <w:rsid w:val="00FC7709"/>
    <w:rsid w:val="00FD08D7"/>
    <w:rsid w:val="00FD323D"/>
    <w:rsid w:val="00FD3B5B"/>
    <w:rsid w:val="00FD46CF"/>
    <w:rsid w:val="00FD5468"/>
    <w:rsid w:val="00FE0D15"/>
    <w:rsid w:val="00FE26C6"/>
    <w:rsid w:val="00FE56D1"/>
    <w:rsid w:val="00FE6EF5"/>
    <w:rsid w:val="00FF0FBA"/>
    <w:rsid w:val="00FF13AB"/>
    <w:rsid w:val="00FF28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E443F9"/>
  <w15:docId w15:val="{DE9A52F6-836E-4FBB-A657-B5317ADB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A73"/>
    <w:pPr>
      <w:spacing w:after="0" w:line="360" w:lineRule="auto"/>
      <w:ind w:firstLine="709"/>
      <w:jc w:val="both"/>
    </w:pPr>
    <w:rPr>
      <w:rFonts w:ascii="Times New Roman" w:eastAsia="Times New Roman" w:hAnsi="Times New Roman" w:cs="Times New Roman"/>
      <w:sz w:val="24"/>
      <w:szCs w:val="24"/>
      <w:lang w:val="en-GB" w:eastAsia="it-IT"/>
    </w:rPr>
  </w:style>
  <w:style w:type="paragraph" w:styleId="Heading2">
    <w:name w:val="heading 2"/>
    <w:basedOn w:val="Normal"/>
    <w:next w:val="Normal"/>
    <w:link w:val="Heading2Char"/>
    <w:uiPriority w:val="9"/>
    <w:semiHidden/>
    <w:unhideWhenUsed/>
    <w:qFormat/>
    <w:rsid w:val="00E773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F75C9"/>
    <w:pPr>
      <w:spacing w:before="100" w:beforeAutospacing="1" w:after="100" w:afterAutospacing="1" w:line="240" w:lineRule="auto"/>
      <w:outlineLvl w:val="2"/>
    </w:pPr>
    <w:rPr>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10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F75C9"/>
    <w:rPr>
      <w:rFonts w:ascii="Times New Roman" w:eastAsia="Times New Roman" w:hAnsi="Times New Roman" w:cs="Times New Roman"/>
      <w:b/>
      <w:bCs/>
      <w:sz w:val="27"/>
      <w:szCs w:val="27"/>
      <w:lang w:eastAsia="pt-PT"/>
    </w:rPr>
  </w:style>
  <w:style w:type="paragraph" w:styleId="ListParagraph">
    <w:name w:val="List Paragraph"/>
    <w:basedOn w:val="Normal"/>
    <w:uiPriority w:val="34"/>
    <w:qFormat/>
    <w:rsid w:val="00E77374"/>
    <w:pPr>
      <w:ind w:left="720"/>
      <w:contextualSpacing/>
    </w:pPr>
  </w:style>
  <w:style w:type="character" w:customStyle="1" w:styleId="Heading2Char">
    <w:name w:val="Heading 2 Char"/>
    <w:basedOn w:val="DefaultParagraphFont"/>
    <w:link w:val="Heading2"/>
    <w:uiPriority w:val="9"/>
    <w:semiHidden/>
    <w:rsid w:val="00E7737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90884"/>
    <w:rPr>
      <w:color w:val="0000FF"/>
      <w:u w:val="single"/>
    </w:rPr>
  </w:style>
  <w:style w:type="paragraph" w:styleId="Bibliography">
    <w:name w:val="Bibliography"/>
    <w:basedOn w:val="Normal"/>
    <w:next w:val="Normal"/>
    <w:uiPriority w:val="37"/>
    <w:unhideWhenUsed/>
    <w:rsid w:val="00FB3071"/>
    <w:pPr>
      <w:spacing w:line="480" w:lineRule="auto"/>
      <w:ind w:firstLine="0"/>
    </w:pPr>
  </w:style>
  <w:style w:type="table" w:customStyle="1" w:styleId="TableGridLight1">
    <w:name w:val="Table Grid Light1"/>
    <w:basedOn w:val="TableNormal"/>
    <w:uiPriority w:val="40"/>
    <w:rsid w:val="00695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6959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0B057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574"/>
    <w:rPr>
      <w:rFonts w:ascii="Lucida Grande" w:hAnsi="Lucida Grande" w:cs="Lucida Grande"/>
      <w:sz w:val="18"/>
      <w:szCs w:val="18"/>
    </w:rPr>
  </w:style>
  <w:style w:type="character" w:styleId="CommentReference">
    <w:name w:val="annotation reference"/>
    <w:basedOn w:val="DefaultParagraphFont"/>
    <w:uiPriority w:val="99"/>
    <w:semiHidden/>
    <w:unhideWhenUsed/>
    <w:rsid w:val="000B0574"/>
    <w:rPr>
      <w:sz w:val="18"/>
      <w:szCs w:val="18"/>
    </w:rPr>
  </w:style>
  <w:style w:type="paragraph" w:styleId="CommentText">
    <w:name w:val="annotation text"/>
    <w:basedOn w:val="Normal"/>
    <w:link w:val="CommentTextChar"/>
    <w:uiPriority w:val="99"/>
    <w:unhideWhenUsed/>
    <w:rsid w:val="000B0574"/>
    <w:pPr>
      <w:spacing w:line="240" w:lineRule="auto"/>
    </w:pPr>
  </w:style>
  <w:style w:type="character" w:customStyle="1" w:styleId="CommentTextChar">
    <w:name w:val="Comment Text Char"/>
    <w:basedOn w:val="DefaultParagraphFont"/>
    <w:link w:val="CommentText"/>
    <w:uiPriority w:val="99"/>
    <w:rsid w:val="000B0574"/>
    <w:rPr>
      <w:sz w:val="24"/>
      <w:szCs w:val="24"/>
    </w:rPr>
  </w:style>
  <w:style w:type="paragraph" w:styleId="CommentSubject">
    <w:name w:val="annotation subject"/>
    <w:basedOn w:val="CommentText"/>
    <w:next w:val="CommentText"/>
    <w:link w:val="CommentSubjectChar"/>
    <w:uiPriority w:val="99"/>
    <w:semiHidden/>
    <w:unhideWhenUsed/>
    <w:rsid w:val="000B0574"/>
    <w:rPr>
      <w:b/>
      <w:bCs/>
      <w:sz w:val="20"/>
      <w:szCs w:val="20"/>
    </w:rPr>
  </w:style>
  <w:style w:type="character" w:customStyle="1" w:styleId="CommentSubjectChar">
    <w:name w:val="Comment Subject Char"/>
    <w:basedOn w:val="CommentTextChar"/>
    <w:link w:val="CommentSubject"/>
    <w:uiPriority w:val="99"/>
    <w:semiHidden/>
    <w:rsid w:val="000B0574"/>
    <w:rPr>
      <w:b/>
      <w:bCs/>
      <w:sz w:val="20"/>
      <w:szCs w:val="20"/>
    </w:rPr>
  </w:style>
  <w:style w:type="paragraph" w:styleId="Header">
    <w:name w:val="header"/>
    <w:basedOn w:val="Normal"/>
    <w:link w:val="HeaderChar"/>
    <w:uiPriority w:val="99"/>
    <w:unhideWhenUsed/>
    <w:rsid w:val="00B6400D"/>
    <w:pPr>
      <w:tabs>
        <w:tab w:val="center" w:pos="4252"/>
        <w:tab w:val="right" w:pos="8504"/>
      </w:tabs>
      <w:spacing w:line="240" w:lineRule="auto"/>
    </w:pPr>
  </w:style>
  <w:style w:type="character" w:customStyle="1" w:styleId="HeaderChar">
    <w:name w:val="Header Char"/>
    <w:basedOn w:val="DefaultParagraphFont"/>
    <w:link w:val="Header"/>
    <w:uiPriority w:val="99"/>
    <w:rsid w:val="00B6400D"/>
  </w:style>
  <w:style w:type="paragraph" w:styleId="Footer">
    <w:name w:val="footer"/>
    <w:basedOn w:val="Normal"/>
    <w:link w:val="FooterChar"/>
    <w:uiPriority w:val="99"/>
    <w:unhideWhenUsed/>
    <w:rsid w:val="00B6400D"/>
    <w:pPr>
      <w:tabs>
        <w:tab w:val="center" w:pos="4252"/>
        <w:tab w:val="right" w:pos="8504"/>
      </w:tabs>
      <w:spacing w:line="240" w:lineRule="auto"/>
    </w:pPr>
  </w:style>
  <w:style w:type="character" w:customStyle="1" w:styleId="FooterChar">
    <w:name w:val="Footer Char"/>
    <w:basedOn w:val="DefaultParagraphFont"/>
    <w:link w:val="Footer"/>
    <w:uiPriority w:val="99"/>
    <w:rsid w:val="00B6400D"/>
  </w:style>
  <w:style w:type="paragraph" w:styleId="FootnoteText">
    <w:name w:val="footnote text"/>
    <w:basedOn w:val="Normal"/>
    <w:link w:val="FootnoteTextChar"/>
    <w:uiPriority w:val="99"/>
    <w:unhideWhenUsed/>
    <w:rsid w:val="00B85A02"/>
    <w:pPr>
      <w:spacing w:line="240" w:lineRule="auto"/>
    </w:pPr>
    <w:rPr>
      <w:sz w:val="20"/>
      <w:szCs w:val="20"/>
    </w:rPr>
  </w:style>
  <w:style w:type="character" w:customStyle="1" w:styleId="FootnoteTextChar">
    <w:name w:val="Footnote Text Char"/>
    <w:basedOn w:val="DefaultParagraphFont"/>
    <w:link w:val="FootnoteText"/>
    <w:uiPriority w:val="99"/>
    <w:rsid w:val="00B85A02"/>
    <w:rPr>
      <w:sz w:val="20"/>
      <w:szCs w:val="20"/>
    </w:rPr>
  </w:style>
  <w:style w:type="character" w:styleId="FootnoteReference">
    <w:name w:val="footnote reference"/>
    <w:basedOn w:val="DefaultParagraphFont"/>
    <w:uiPriority w:val="99"/>
    <w:semiHidden/>
    <w:unhideWhenUsed/>
    <w:rsid w:val="00B85A02"/>
    <w:rPr>
      <w:vertAlign w:val="superscript"/>
    </w:rPr>
  </w:style>
  <w:style w:type="character" w:styleId="PlaceholderText">
    <w:name w:val="Placeholder Text"/>
    <w:basedOn w:val="DefaultParagraphFont"/>
    <w:uiPriority w:val="99"/>
    <w:semiHidden/>
    <w:rsid w:val="001C3C62"/>
    <w:rPr>
      <w:color w:val="808080"/>
    </w:rPr>
  </w:style>
  <w:style w:type="table" w:customStyle="1" w:styleId="PlainTable31">
    <w:name w:val="Plain Table 31"/>
    <w:basedOn w:val="TableNormal"/>
    <w:uiPriority w:val="99"/>
    <w:rsid w:val="007F3B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ndnoteReference">
    <w:name w:val="endnote reference"/>
    <w:basedOn w:val="DefaultParagraphFont"/>
    <w:uiPriority w:val="99"/>
    <w:semiHidden/>
    <w:unhideWhenUsed/>
    <w:rsid w:val="00EA54D9"/>
    <w:rPr>
      <w:vertAlign w:val="superscript"/>
    </w:rPr>
  </w:style>
  <w:style w:type="paragraph" w:styleId="Revision">
    <w:name w:val="Revision"/>
    <w:hidden/>
    <w:uiPriority w:val="99"/>
    <w:semiHidden/>
    <w:rsid w:val="00E57261"/>
    <w:pPr>
      <w:spacing w:after="0" w:line="240" w:lineRule="auto"/>
    </w:pPr>
    <w:rPr>
      <w:rFonts w:ascii="Times New Roman" w:eastAsia="Times New Roman" w:hAnsi="Times New Roman" w:cs="Times New Roman"/>
      <w:sz w:val="24"/>
      <w:szCs w:val="24"/>
      <w:lang w:val="en-GB" w:eastAsia="it-IT"/>
    </w:rPr>
  </w:style>
  <w:style w:type="character" w:customStyle="1" w:styleId="cwcot">
    <w:name w:val="cwcot"/>
    <w:basedOn w:val="DefaultParagraphFont"/>
    <w:rsid w:val="00426629"/>
  </w:style>
  <w:style w:type="paragraph" w:styleId="HTMLPreformatted">
    <w:name w:val="HTML Preformatted"/>
    <w:basedOn w:val="Normal"/>
    <w:link w:val="HTMLPreformattedChar"/>
    <w:uiPriority w:val="99"/>
    <w:unhideWhenUsed/>
    <w:rsid w:val="00350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50812"/>
    <w:rPr>
      <w:rFonts w:ascii="Courier New" w:eastAsia="Times New Roman" w:hAnsi="Courier New" w:cs="Courier New"/>
      <w:sz w:val="20"/>
      <w:szCs w:val="20"/>
      <w:lang w:val="en-US"/>
    </w:rPr>
  </w:style>
  <w:style w:type="character" w:styleId="Emphasis">
    <w:name w:val="Emphasis"/>
    <w:basedOn w:val="DefaultParagraphFont"/>
    <w:uiPriority w:val="20"/>
    <w:qFormat/>
    <w:rsid w:val="00624277"/>
    <w:rPr>
      <w:i/>
      <w:iCs/>
    </w:rPr>
  </w:style>
  <w:style w:type="table" w:styleId="GridTable1Light">
    <w:name w:val="Grid Table 1 Light"/>
    <w:basedOn w:val="TableNormal"/>
    <w:uiPriority w:val="46"/>
    <w:rsid w:val="005573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C14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C14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3207">
      <w:bodyDiv w:val="1"/>
      <w:marLeft w:val="0"/>
      <w:marRight w:val="0"/>
      <w:marTop w:val="0"/>
      <w:marBottom w:val="0"/>
      <w:divBdr>
        <w:top w:val="none" w:sz="0" w:space="0" w:color="auto"/>
        <w:left w:val="none" w:sz="0" w:space="0" w:color="auto"/>
        <w:bottom w:val="none" w:sz="0" w:space="0" w:color="auto"/>
        <w:right w:val="none" w:sz="0" w:space="0" w:color="auto"/>
      </w:divBdr>
    </w:div>
    <w:div w:id="63071784">
      <w:bodyDiv w:val="1"/>
      <w:marLeft w:val="0"/>
      <w:marRight w:val="0"/>
      <w:marTop w:val="0"/>
      <w:marBottom w:val="0"/>
      <w:divBdr>
        <w:top w:val="none" w:sz="0" w:space="0" w:color="auto"/>
        <w:left w:val="none" w:sz="0" w:space="0" w:color="auto"/>
        <w:bottom w:val="none" w:sz="0" w:space="0" w:color="auto"/>
        <w:right w:val="none" w:sz="0" w:space="0" w:color="auto"/>
      </w:divBdr>
    </w:div>
    <w:div w:id="79565571">
      <w:bodyDiv w:val="1"/>
      <w:marLeft w:val="0"/>
      <w:marRight w:val="0"/>
      <w:marTop w:val="0"/>
      <w:marBottom w:val="0"/>
      <w:divBdr>
        <w:top w:val="none" w:sz="0" w:space="0" w:color="auto"/>
        <w:left w:val="none" w:sz="0" w:space="0" w:color="auto"/>
        <w:bottom w:val="none" w:sz="0" w:space="0" w:color="auto"/>
        <w:right w:val="none" w:sz="0" w:space="0" w:color="auto"/>
      </w:divBdr>
    </w:div>
    <w:div w:id="92826511">
      <w:bodyDiv w:val="1"/>
      <w:marLeft w:val="0"/>
      <w:marRight w:val="0"/>
      <w:marTop w:val="0"/>
      <w:marBottom w:val="0"/>
      <w:divBdr>
        <w:top w:val="none" w:sz="0" w:space="0" w:color="auto"/>
        <w:left w:val="none" w:sz="0" w:space="0" w:color="auto"/>
        <w:bottom w:val="none" w:sz="0" w:space="0" w:color="auto"/>
        <w:right w:val="none" w:sz="0" w:space="0" w:color="auto"/>
      </w:divBdr>
    </w:div>
    <w:div w:id="127095533">
      <w:bodyDiv w:val="1"/>
      <w:marLeft w:val="0"/>
      <w:marRight w:val="0"/>
      <w:marTop w:val="0"/>
      <w:marBottom w:val="0"/>
      <w:divBdr>
        <w:top w:val="none" w:sz="0" w:space="0" w:color="auto"/>
        <w:left w:val="none" w:sz="0" w:space="0" w:color="auto"/>
        <w:bottom w:val="none" w:sz="0" w:space="0" w:color="auto"/>
        <w:right w:val="none" w:sz="0" w:space="0" w:color="auto"/>
      </w:divBdr>
    </w:div>
    <w:div w:id="142359138">
      <w:bodyDiv w:val="1"/>
      <w:marLeft w:val="0"/>
      <w:marRight w:val="0"/>
      <w:marTop w:val="0"/>
      <w:marBottom w:val="0"/>
      <w:divBdr>
        <w:top w:val="none" w:sz="0" w:space="0" w:color="auto"/>
        <w:left w:val="none" w:sz="0" w:space="0" w:color="auto"/>
        <w:bottom w:val="none" w:sz="0" w:space="0" w:color="auto"/>
        <w:right w:val="none" w:sz="0" w:space="0" w:color="auto"/>
      </w:divBdr>
    </w:div>
    <w:div w:id="150104898">
      <w:bodyDiv w:val="1"/>
      <w:marLeft w:val="0"/>
      <w:marRight w:val="0"/>
      <w:marTop w:val="0"/>
      <w:marBottom w:val="0"/>
      <w:divBdr>
        <w:top w:val="none" w:sz="0" w:space="0" w:color="auto"/>
        <w:left w:val="none" w:sz="0" w:space="0" w:color="auto"/>
        <w:bottom w:val="none" w:sz="0" w:space="0" w:color="auto"/>
        <w:right w:val="none" w:sz="0" w:space="0" w:color="auto"/>
      </w:divBdr>
    </w:div>
    <w:div w:id="154956377">
      <w:bodyDiv w:val="1"/>
      <w:marLeft w:val="0"/>
      <w:marRight w:val="0"/>
      <w:marTop w:val="0"/>
      <w:marBottom w:val="0"/>
      <w:divBdr>
        <w:top w:val="none" w:sz="0" w:space="0" w:color="auto"/>
        <w:left w:val="none" w:sz="0" w:space="0" w:color="auto"/>
        <w:bottom w:val="none" w:sz="0" w:space="0" w:color="auto"/>
        <w:right w:val="none" w:sz="0" w:space="0" w:color="auto"/>
      </w:divBdr>
    </w:div>
    <w:div w:id="175198968">
      <w:bodyDiv w:val="1"/>
      <w:marLeft w:val="0"/>
      <w:marRight w:val="0"/>
      <w:marTop w:val="0"/>
      <w:marBottom w:val="0"/>
      <w:divBdr>
        <w:top w:val="none" w:sz="0" w:space="0" w:color="auto"/>
        <w:left w:val="none" w:sz="0" w:space="0" w:color="auto"/>
        <w:bottom w:val="none" w:sz="0" w:space="0" w:color="auto"/>
        <w:right w:val="none" w:sz="0" w:space="0" w:color="auto"/>
      </w:divBdr>
    </w:div>
    <w:div w:id="194466106">
      <w:bodyDiv w:val="1"/>
      <w:marLeft w:val="0"/>
      <w:marRight w:val="0"/>
      <w:marTop w:val="0"/>
      <w:marBottom w:val="0"/>
      <w:divBdr>
        <w:top w:val="none" w:sz="0" w:space="0" w:color="auto"/>
        <w:left w:val="none" w:sz="0" w:space="0" w:color="auto"/>
        <w:bottom w:val="none" w:sz="0" w:space="0" w:color="auto"/>
        <w:right w:val="none" w:sz="0" w:space="0" w:color="auto"/>
      </w:divBdr>
    </w:div>
    <w:div w:id="205801344">
      <w:bodyDiv w:val="1"/>
      <w:marLeft w:val="0"/>
      <w:marRight w:val="0"/>
      <w:marTop w:val="0"/>
      <w:marBottom w:val="0"/>
      <w:divBdr>
        <w:top w:val="none" w:sz="0" w:space="0" w:color="auto"/>
        <w:left w:val="none" w:sz="0" w:space="0" w:color="auto"/>
        <w:bottom w:val="none" w:sz="0" w:space="0" w:color="auto"/>
        <w:right w:val="none" w:sz="0" w:space="0" w:color="auto"/>
      </w:divBdr>
    </w:div>
    <w:div w:id="282659536">
      <w:bodyDiv w:val="1"/>
      <w:marLeft w:val="0"/>
      <w:marRight w:val="0"/>
      <w:marTop w:val="0"/>
      <w:marBottom w:val="0"/>
      <w:divBdr>
        <w:top w:val="none" w:sz="0" w:space="0" w:color="auto"/>
        <w:left w:val="none" w:sz="0" w:space="0" w:color="auto"/>
        <w:bottom w:val="none" w:sz="0" w:space="0" w:color="auto"/>
        <w:right w:val="none" w:sz="0" w:space="0" w:color="auto"/>
      </w:divBdr>
    </w:div>
    <w:div w:id="414327703">
      <w:bodyDiv w:val="1"/>
      <w:marLeft w:val="0"/>
      <w:marRight w:val="0"/>
      <w:marTop w:val="0"/>
      <w:marBottom w:val="0"/>
      <w:divBdr>
        <w:top w:val="none" w:sz="0" w:space="0" w:color="auto"/>
        <w:left w:val="none" w:sz="0" w:space="0" w:color="auto"/>
        <w:bottom w:val="none" w:sz="0" w:space="0" w:color="auto"/>
        <w:right w:val="none" w:sz="0" w:space="0" w:color="auto"/>
      </w:divBdr>
    </w:div>
    <w:div w:id="464810845">
      <w:bodyDiv w:val="1"/>
      <w:marLeft w:val="0"/>
      <w:marRight w:val="0"/>
      <w:marTop w:val="0"/>
      <w:marBottom w:val="0"/>
      <w:divBdr>
        <w:top w:val="none" w:sz="0" w:space="0" w:color="auto"/>
        <w:left w:val="none" w:sz="0" w:space="0" w:color="auto"/>
        <w:bottom w:val="none" w:sz="0" w:space="0" w:color="auto"/>
        <w:right w:val="none" w:sz="0" w:space="0" w:color="auto"/>
      </w:divBdr>
    </w:div>
    <w:div w:id="505244646">
      <w:bodyDiv w:val="1"/>
      <w:marLeft w:val="0"/>
      <w:marRight w:val="0"/>
      <w:marTop w:val="0"/>
      <w:marBottom w:val="0"/>
      <w:divBdr>
        <w:top w:val="none" w:sz="0" w:space="0" w:color="auto"/>
        <w:left w:val="none" w:sz="0" w:space="0" w:color="auto"/>
        <w:bottom w:val="none" w:sz="0" w:space="0" w:color="auto"/>
        <w:right w:val="none" w:sz="0" w:space="0" w:color="auto"/>
      </w:divBdr>
    </w:div>
    <w:div w:id="512576871">
      <w:bodyDiv w:val="1"/>
      <w:marLeft w:val="0"/>
      <w:marRight w:val="0"/>
      <w:marTop w:val="0"/>
      <w:marBottom w:val="0"/>
      <w:divBdr>
        <w:top w:val="none" w:sz="0" w:space="0" w:color="auto"/>
        <w:left w:val="none" w:sz="0" w:space="0" w:color="auto"/>
        <w:bottom w:val="none" w:sz="0" w:space="0" w:color="auto"/>
        <w:right w:val="none" w:sz="0" w:space="0" w:color="auto"/>
      </w:divBdr>
    </w:div>
    <w:div w:id="530806750">
      <w:bodyDiv w:val="1"/>
      <w:marLeft w:val="0"/>
      <w:marRight w:val="0"/>
      <w:marTop w:val="0"/>
      <w:marBottom w:val="0"/>
      <w:divBdr>
        <w:top w:val="none" w:sz="0" w:space="0" w:color="auto"/>
        <w:left w:val="none" w:sz="0" w:space="0" w:color="auto"/>
        <w:bottom w:val="none" w:sz="0" w:space="0" w:color="auto"/>
        <w:right w:val="none" w:sz="0" w:space="0" w:color="auto"/>
      </w:divBdr>
    </w:div>
    <w:div w:id="538395259">
      <w:bodyDiv w:val="1"/>
      <w:marLeft w:val="0"/>
      <w:marRight w:val="0"/>
      <w:marTop w:val="0"/>
      <w:marBottom w:val="0"/>
      <w:divBdr>
        <w:top w:val="none" w:sz="0" w:space="0" w:color="auto"/>
        <w:left w:val="none" w:sz="0" w:space="0" w:color="auto"/>
        <w:bottom w:val="none" w:sz="0" w:space="0" w:color="auto"/>
        <w:right w:val="none" w:sz="0" w:space="0" w:color="auto"/>
      </w:divBdr>
    </w:div>
    <w:div w:id="548420269">
      <w:bodyDiv w:val="1"/>
      <w:marLeft w:val="0"/>
      <w:marRight w:val="0"/>
      <w:marTop w:val="0"/>
      <w:marBottom w:val="0"/>
      <w:divBdr>
        <w:top w:val="none" w:sz="0" w:space="0" w:color="auto"/>
        <w:left w:val="none" w:sz="0" w:space="0" w:color="auto"/>
        <w:bottom w:val="none" w:sz="0" w:space="0" w:color="auto"/>
        <w:right w:val="none" w:sz="0" w:space="0" w:color="auto"/>
      </w:divBdr>
    </w:div>
    <w:div w:id="552933645">
      <w:bodyDiv w:val="1"/>
      <w:marLeft w:val="0"/>
      <w:marRight w:val="0"/>
      <w:marTop w:val="0"/>
      <w:marBottom w:val="0"/>
      <w:divBdr>
        <w:top w:val="none" w:sz="0" w:space="0" w:color="auto"/>
        <w:left w:val="none" w:sz="0" w:space="0" w:color="auto"/>
        <w:bottom w:val="none" w:sz="0" w:space="0" w:color="auto"/>
        <w:right w:val="none" w:sz="0" w:space="0" w:color="auto"/>
      </w:divBdr>
    </w:div>
    <w:div w:id="578557637">
      <w:bodyDiv w:val="1"/>
      <w:marLeft w:val="0"/>
      <w:marRight w:val="0"/>
      <w:marTop w:val="0"/>
      <w:marBottom w:val="0"/>
      <w:divBdr>
        <w:top w:val="none" w:sz="0" w:space="0" w:color="auto"/>
        <w:left w:val="none" w:sz="0" w:space="0" w:color="auto"/>
        <w:bottom w:val="none" w:sz="0" w:space="0" w:color="auto"/>
        <w:right w:val="none" w:sz="0" w:space="0" w:color="auto"/>
      </w:divBdr>
    </w:div>
    <w:div w:id="622004461">
      <w:bodyDiv w:val="1"/>
      <w:marLeft w:val="0"/>
      <w:marRight w:val="0"/>
      <w:marTop w:val="0"/>
      <w:marBottom w:val="0"/>
      <w:divBdr>
        <w:top w:val="none" w:sz="0" w:space="0" w:color="auto"/>
        <w:left w:val="none" w:sz="0" w:space="0" w:color="auto"/>
        <w:bottom w:val="none" w:sz="0" w:space="0" w:color="auto"/>
        <w:right w:val="none" w:sz="0" w:space="0" w:color="auto"/>
      </w:divBdr>
    </w:div>
    <w:div w:id="641161145">
      <w:bodyDiv w:val="1"/>
      <w:marLeft w:val="0"/>
      <w:marRight w:val="0"/>
      <w:marTop w:val="0"/>
      <w:marBottom w:val="0"/>
      <w:divBdr>
        <w:top w:val="none" w:sz="0" w:space="0" w:color="auto"/>
        <w:left w:val="none" w:sz="0" w:space="0" w:color="auto"/>
        <w:bottom w:val="none" w:sz="0" w:space="0" w:color="auto"/>
        <w:right w:val="none" w:sz="0" w:space="0" w:color="auto"/>
      </w:divBdr>
    </w:div>
    <w:div w:id="724371569">
      <w:bodyDiv w:val="1"/>
      <w:marLeft w:val="0"/>
      <w:marRight w:val="0"/>
      <w:marTop w:val="0"/>
      <w:marBottom w:val="0"/>
      <w:divBdr>
        <w:top w:val="none" w:sz="0" w:space="0" w:color="auto"/>
        <w:left w:val="none" w:sz="0" w:space="0" w:color="auto"/>
        <w:bottom w:val="none" w:sz="0" w:space="0" w:color="auto"/>
        <w:right w:val="none" w:sz="0" w:space="0" w:color="auto"/>
      </w:divBdr>
    </w:div>
    <w:div w:id="758408148">
      <w:bodyDiv w:val="1"/>
      <w:marLeft w:val="0"/>
      <w:marRight w:val="0"/>
      <w:marTop w:val="0"/>
      <w:marBottom w:val="0"/>
      <w:divBdr>
        <w:top w:val="none" w:sz="0" w:space="0" w:color="auto"/>
        <w:left w:val="none" w:sz="0" w:space="0" w:color="auto"/>
        <w:bottom w:val="none" w:sz="0" w:space="0" w:color="auto"/>
        <w:right w:val="none" w:sz="0" w:space="0" w:color="auto"/>
      </w:divBdr>
    </w:div>
    <w:div w:id="770707048">
      <w:bodyDiv w:val="1"/>
      <w:marLeft w:val="0"/>
      <w:marRight w:val="0"/>
      <w:marTop w:val="0"/>
      <w:marBottom w:val="0"/>
      <w:divBdr>
        <w:top w:val="none" w:sz="0" w:space="0" w:color="auto"/>
        <w:left w:val="none" w:sz="0" w:space="0" w:color="auto"/>
        <w:bottom w:val="none" w:sz="0" w:space="0" w:color="auto"/>
        <w:right w:val="none" w:sz="0" w:space="0" w:color="auto"/>
      </w:divBdr>
    </w:div>
    <w:div w:id="785274397">
      <w:bodyDiv w:val="1"/>
      <w:marLeft w:val="0"/>
      <w:marRight w:val="0"/>
      <w:marTop w:val="0"/>
      <w:marBottom w:val="0"/>
      <w:divBdr>
        <w:top w:val="none" w:sz="0" w:space="0" w:color="auto"/>
        <w:left w:val="none" w:sz="0" w:space="0" w:color="auto"/>
        <w:bottom w:val="none" w:sz="0" w:space="0" w:color="auto"/>
        <w:right w:val="none" w:sz="0" w:space="0" w:color="auto"/>
      </w:divBdr>
    </w:div>
    <w:div w:id="795298187">
      <w:bodyDiv w:val="1"/>
      <w:marLeft w:val="0"/>
      <w:marRight w:val="0"/>
      <w:marTop w:val="0"/>
      <w:marBottom w:val="0"/>
      <w:divBdr>
        <w:top w:val="none" w:sz="0" w:space="0" w:color="auto"/>
        <w:left w:val="none" w:sz="0" w:space="0" w:color="auto"/>
        <w:bottom w:val="none" w:sz="0" w:space="0" w:color="auto"/>
        <w:right w:val="none" w:sz="0" w:space="0" w:color="auto"/>
      </w:divBdr>
    </w:div>
    <w:div w:id="839808502">
      <w:bodyDiv w:val="1"/>
      <w:marLeft w:val="0"/>
      <w:marRight w:val="0"/>
      <w:marTop w:val="0"/>
      <w:marBottom w:val="0"/>
      <w:divBdr>
        <w:top w:val="none" w:sz="0" w:space="0" w:color="auto"/>
        <w:left w:val="none" w:sz="0" w:space="0" w:color="auto"/>
        <w:bottom w:val="none" w:sz="0" w:space="0" w:color="auto"/>
        <w:right w:val="none" w:sz="0" w:space="0" w:color="auto"/>
      </w:divBdr>
    </w:div>
    <w:div w:id="864445844">
      <w:bodyDiv w:val="1"/>
      <w:marLeft w:val="0"/>
      <w:marRight w:val="0"/>
      <w:marTop w:val="0"/>
      <w:marBottom w:val="0"/>
      <w:divBdr>
        <w:top w:val="none" w:sz="0" w:space="0" w:color="auto"/>
        <w:left w:val="none" w:sz="0" w:space="0" w:color="auto"/>
        <w:bottom w:val="none" w:sz="0" w:space="0" w:color="auto"/>
        <w:right w:val="none" w:sz="0" w:space="0" w:color="auto"/>
      </w:divBdr>
    </w:div>
    <w:div w:id="881211514">
      <w:bodyDiv w:val="1"/>
      <w:marLeft w:val="0"/>
      <w:marRight w:val="0"/>
      <w:marTop w:val="0"/>
      <w:marBottom w:val="0"/>
      <w:divBdr>
        <w:top w:val="none" w:sz="0" w:space="0" w:color="auto"/>
        <w:left w:val="none" w:sz="0" w:space="0" w:color="auto"/>
        <w:bottom w:val="none" w:sz="0" w:space="0" w:color="auto"/>
        <w:right w:val="none" w:sz="0" w:space="0" w:color="auto"/>
      </w:divBdr>
    </w:div>
    <w:div w:id="907762929">
      <w:bodyDiv w:val="1"/>
      <w:marLeft w:val="0"/>
      <w:marRight w:val="0"/>
      <w:marTop w:val="0"/>
      <w:marBottom w:val="0"/>
      <w:divBdr>
        <w:top w:val="none" w:sz="0" w:space="0" w:color="auto"/>
        <w:left w:val="none" w:sz="0" w:space="0" w:color="auto"/>
        <w:bottom w:val="none" w:sz="0" w:space="0" w:color="auto"/>
        <w:right w:val="none" w:sz="0" w:space="0" w:color="auto"/>
      </w:divBdr>
    </w:div>
    <w:div w:id="942957418">
      <w:bodyDiv w:val="1"/>
      <w:marLeft w:val="0"/>
      <w:marRight w:val="0"/>
      <w:marTop w:val="0"/>
      <w:marBottom w:val="0"/>
      <w:divBdr>
        <w:top w:val="none" w:sz="0" w:space="0" w:color="auto"/>
        <w:left w:val="none" w:sz="0" w:space="0" w:color="auto"/>
        <w:bottom w:val="none" w:sz="0" w:space="0" w:color="auto"/>
        <w:right w:val="none" w:sz="0" w:space="0" w:color="auto"/>
      </w:divBdr>
    </w:div>
    <w:div w:id="953904159">
      <w:bodyDiv w:val="1"/>
      <w:marLeft w:val="0"/>
      <w:marRight w:val="0"/>
      <w:marTop w:val="0"/>
      <w:marBottom w:val="0"/>
      <w:divBdr>
        <w:top w:val="none" w:sz="0" w:space="0" w:color="auto"/>
        <w:left w:val="none" w:sz="0" w:space="0" w:color="auto"/>
        <w:bottom w:val="none" w:sz="0" w:space="0" w:color="auto"/>
        <w:right w:val="none" w:sz="0" w:space="0" w:color="auto"/>
      </w:divBdr>
    </w:div>
    <w:div w:id="967197719">
      <w:bodyDiv w:val="1"/>
      <w:marLeft w:val="0"/>
      <w:marRight w:val="0"/>
      <w:marTop w:val="0"/>
      <w:marBottom w:val="0"/>
      <w:divBdr>
        <w:top w:val="none" w:sz="0" w:space="0" w:color="auto"/>
        <w:left w:val="none" w:sz="0" w:space="0" w:color="auto"/>
        <w:bottom w:val="none" w:sz="0" w:space="0" w:color="auto"/>
        <w:right w:val="none" w:sz="0" w:space="0" w:color="auto"/>
      </w:divBdr>
    </w:div>
    <w:div w:id="967974726">
      <w:bodyDiv w:val="1"/>
      <w:marLeft w:val="0"/>
      <w:marRight w:val="0"/>
      <w:marTop w:val="0"/>
      <w:marBottom w:val="0"/>
      <w:divBdr>
        <w:top w:val="none" w:sz="0" w:space="0" w:color="auto"/>
        <w:left w:val="none" w:sz="0" w:space="0" w:color="auto"/>
        <w:bottom w:val="none" w:sz="0" w:space="0" w:color="auto"/>
        <w:right w:val="none" w:sz="0" w:space="0" w:color="auto"/>
      </w:divBdr>
    </w:div>
    <w:div w:id="1000500950">
      <w:bodyDiv w:val="1"/>
      <w:marLeft w:val="0"/>
      <w:marRight w:val="0"/>
      <w:marTop w:val="0"/>
      <w:marBottom w:val="0"/>
      <w:divBdr>
        <w:top w:val="none" w:sz="0" w:space="0" w:color="auto"/>
        <w:left w:val="none" w:sz="0" w:space="0" w:color="auto"/>
        <w:bottom w:val="none" w:sz="0" w:space="0" w:color="auto"/>
        <w:right w:val="none" w:sz="0" w:space="0" w:color="auto"/>
      </w:divBdr>
    </w:div>
    <w:div w:id="1025713002">
      <w:bodyDiv w:val="1"/>
      <w:marLeft w:val="0"/>
      <w:marRight w:val="0"/>
      <w:marTop w:val="0"/>
      <w:marBottom w:val="0"/>
      <w:divBdr>
        <w:top w:val="none" w:sz="0" w:space="0" w:color="auto"/>
        <w:left w:val="none" w:sz="0" w:space="0" w:color="auto"/>
        <w:bottom w:val="none" w:sz="0" w:space="0" w:color="auto"/>
        <w:right w:val="none" w:sz="0" w:space="0" w:color="auto"/>
      </w:divBdr>
    </w:div>
    <w:div w:id="1042438069">
      <w:bodyDiv w:val="1"/>
      <w:marLeft w:val="0"/>
      <w:marRight w:val="0"/>
      <w:marTop w:val="0"/>
      <w:marBottom w:val="0"/>
      <w:divBdr>
        <w:top w:val="none" w:sz="0" w:space="0" w:color="auto"/>
        <w:left w:val="none" w:sz="0" w:space="0" w:color="auto"/>
        <w:bottom w:val="none" w:sz="0" w:space="0" w:color="auto"/>
        <w:right w:val="none" w:sz="0" w:space="0" w:color="auto"/>
      </w:divBdr>
    </w:div>
    <w:div w:id="1050423129">
      <w:bodyDiv w:val="1"/>
      <w:marLeft w:val="0"/>
      <w:marRight w:val="0"/>
      <w:marTop w:val="0"/>
      <w:marBottom w:val="0"/>
      <w:divBdr>
        <w:top w:val="none" w:sz="0" w:space="0" w:color="auto"/>
        <w:left w:val="none" w:sz="0" w:space="0" w:color="auto"/>
        <w:bottom w:val="none" w:sz="0" w:space="0" w:color="auto"/>
        <w:right w:val="none" w:sz="0" w:space="0" w:color="auto"/>
      </w:divBdr>
    </w:div>
    <w:div w:id="1095783271">
      <w:bodyDiv w:val="1"/>
      <w:marLeft w:val="0"/>
      <w:marRight w:val="0"/>
      <w:marTop w:val="0"/>
      <w:marBottom w:val="0"/>
      <w:divBdr>
        <w:top w:val="none" w:sz="0" w:space="0" w:color="auto"/>
        <w:left w:val="none" w:sz="0" w:space="0" w:color="auto"/>
        <w:bottom w:val="none" w:sz="0" w:space="0" w:color="auto"/>
        <w:right w:val="none" w:sz="0" w:space="0" w:color="auto"/>
      </w:divBdr>
    </w:div>
    <w:div w:id="1097603652">
      <w:bodyDiv w:val="1"/>
      <w:marLeft w:val="0"/>
      <w:marRight w:val="0"/>
      <w:marTop w:val="0"/>
      <w:marBottom w:val="0"/>
      <w:divBdr>
        <w:top w:val="none" w:sz="0" w:space="0" w:color="auto"/>
        <w:left w:val="none" w:sz="0" w:space="0" w:color="auto"/>
        <w:bottom w:val="none" w:sz="0" w:space="0" w:color="auto"/>
        <w:right w:val="none" w:sz="0" w:space="0" w:color="auto"/>
      </w:divBdr>
    </w:div>
    <w:div w:id="1102918453">
      <w:bodyDiv w:val="1"/>
      <w:marLeft w:val="0"/>
      <w:marRight w:val="0"/>
      <w:marTop w:val="0"/>
      <w:marBottom w:val="0"/>
      <w:divBdr>
        <w:top w:val="none" w:sz="0" w:space="0" w:color="auto"/>
        <w:left w:val="none" w:sz="0" w:space="0" w:color="auto"/>
        <w:bottom w:val="none" w:sz="0" w:space="0" w:color="auto"/>
        <w:right w:val="none" w:sz="0" w:space="0" w:color="auto"/>
      </w:divBdr>
    </w:div>
    <w:div w:id="1149857361">
      <w:bodyDiv w:val="1"/>
      <w:marLeft w:val="0"/>
      <w:marRight w:val="0"/>
      <w:marTop w:val="0"/>
      <w:marBottom w:val="0"/>
      <w:divBdr>
        <w:top w:val="none" w:sz="0" w:space="0" w:color="auto"/>
        <w:left w:val="none" w:sz="0" w:space="0" w:color="auto"/>
        <w:bottom w:val="none" w:sz="0" w:space="0" w:color="auto"/>
        <w:right w:val="none" w:sz="0" w:space="0" w:color="auto"/>
      </w:divBdr>
    </w:div>
    <w:div w:id="1154223505">
      <w:bodyDiv w:val="1"/>
      <w:marLeft w:val="0"/>
      <w:marRight w:val="0"/>
      <w:marTop w:val="0"/>
      <w:marBottom w:val="0"/>
      <w:divBdr>
        <w:top w:val="none" w:sz="0" w:space="0" w:color="auto"/>
        <w:left w:val="none" w:sz="0" w:space="0" w:color="auto"/>
        <w:bottom w:val="none" w:sz="0" w:space="0" w:color="auto"/>
        <w:right w:val="none" w:sz="0" w:space="0" w:color="auto"/>
      </w:divBdr>
    </w:div>
    <w:div w:id="1158154842">
      <w:bodyDiv w:val="1"/>
      <w:marLeft w:val="0"/>
      <w:marRight w:val="0"/>
      <w:marTop w:val="0"/>
      <w:marBottom w:val="0"/>
      <w:divBdr>
        <w:top w:val="none" w:sz="0" w:space="0" w:color="auto"/>
        <w:left w:val="none" w:sz="0" w:space="0" w:color="auto"/>
        <w:bottom w:val="none" w:sz="0" w:space="0" w:color="auto"/>
        <w:right w:val="none" w:sz="0" w:space="0" w:color="auto"/>
      </w:divBdr>
    </w:div>
    <w:div w:id="1165977878">
      <w:bodyDiv w:val="1"/>
      <w:marLeft w:val="0"/>
      <w:marRight w:val="0"/>
      <w:marTop w:val="0"/>
      <w:marBottom w:val="0"/>
      <w:divBdr>
        <w:top w:val="none" w:sz="0" w:space="0" w:color="auto"/>
        <w:left w:val="none" w:sz="0" w:space="0" w:color="auto"/>
        <w:bottom w:val="none" w:sz="0" w:space="0" w:color="auto"/>
        <w:right w:val="none" w:sz="0" w:space="0" w:color="auto"/>
      </w:divBdr>
    </w:div>
    <w:div w:id="1168011136">
      <w:bodyDiv w:val="1"/>
      <w:marLeft w:val="0"/>
      <w:marRight w:val="0"/>
      <w:marTop w:val="0"/>
      <w:marBottom w:val="0"/>
      <w:divBdr>
        <w:top w:val="none" w:sz="0" w:space="0" w:color="auto"/>
        <w:left w:val="none" w:sz="0" w:space="0" w:color="auto"/>
        <w:bottom w:val="none" w:sz="0" w:space="0" w:color="auto"/>
        <w:right w:val="none" w:sz="0" w:space="0" w:color="auto"/>
      </w:divBdr>
    </w:div>
    <w:div w:id="1182932438">
      <w:bodyDiv w:val="1"/>
      <w:marLeft w:val="0"/>
      <w:marRight w:val="0"/>
      <w:marTop w:val="0"/>
      <w:marBottom w:val="0"/>
      <w:divBdr>
        <w:top w:val="none" w:sz="0" w:space="0" w:color="auto"/>
        <w:left w:val="none" w:sz="0" w:space="0" w:color="auto"/>
        <w:bottom w:val="none" w:sz="0" w:space="0" w:color="auto"/>
        <w:right w:val="none" w:sz="0" w:space="0" w:color="auto"/>
      </w:divBdr>
    </w:div>
    <w:div w:id="1188561516">
      <w:bodyDiv w:val="1"/>
      <w:marLeft w:val="0"/>
      <w:marRight w:val="0"/>
      <w:marTop w:val="0"/>
      <w:marBottom w:val="0"/>
      <w:divBdr>
        <w:top w:val="none" w:sz="0" w:space="0" w:color="auto"/>
        <w:left w:val="none" w:sz="0" w:space="0" w:color="auto"/>
        <w:bottom w:val="none" w:sz="0" w:space="0" w:color="auto"/>
        <w:right w:val="none" w:sz="0" w:space="0" w:color="auto"/>
      </w:divBdr>
    </w:div>
    <w:div w:id="1188981150">
      <w:bodyDiv w:val="1"/>
      <w:marLeft w:val="0"/>
      <w:marRight w:val="0"/>
      <w:marTop w:val="0"/>
      <w:marBottom w:val="0"/>
      <w:divBdr>
        <w:top w:val="none" w:sz="0" w:space="0" w:color="auto"/>
        <w:left w:val="none" w:sz="0" w:space="0" w:color="auto"/>
        <w:bottom w:val="none" w:sz="0" w:space="0" w:color="auto"/>
        <w:right w:val="none" w:sz="0" w:space="0" w:color="auto"/>
      </w:divBdr>
    </w:div>
    <w:div w:id="1192646186">
      <w:bodyDiv w:val="1"/>
      <w:marLeft w:val="0"/>
      <w:marRight w:val="0"/>
      <w:marTop w:val="0"/>
      <w:marBottom w:val="0"/>
      <w:divBdr>
        <w:top w:val="none" w:sz="0" w:space="0" w:color="auto"/>
        <w:left w:val="none" w:sz="0" w:space="0" w:color="auto"/>
        <w:bottom w:val="none" w:sz="0" w:space="0" w:color="auto"/>
        <w:right w:val="none" w:sz="0" w:space="0" w:color="auto"/>
      </w:divBdr>
    </w:div>
    <w:div w:id="1205604018">
      <w:bodyDiv w:val="1"/>
      <w:marLeft w:val="0"/>
      <w:marRight w:val="0"/>
      <w:marTop w:val="0"/>
      <w:marBottom w:val="0"/>
      <w:divBdr>
        <w:top w:val="none" w:sz="0" w:space="0" w:color="auto"/>
        <w:left w:val="none" w:sz="0" w:space="0" w:color="auto"/>
        <w:bottom w:val="none" w:sz="0" w:space="0" w:color="auto"/>
        <w:right w:val="none" w:sz="0" w:space="0" w:color="auto"/>
      </w:divBdr>
    </w:div>
    <w:div w:id="1212812996">
      <w:bodyDiv w:val="1"/>
      <w:marLeft w:val="0"/>
      <w:marRight w:val="0"/>
      <w:marTop w:val="0"/>
      <w:marBottom w:val="0"/>
      <w:divBdr>
        <w:top w:val="none" w:sz="0" w:space="0" w:color="auto"/>
        <w:left w:val="none" w:sz="0" w:space="0" w:color="auto"/>
        <w:bottom w:val="none" w:sz="0" w:space="0" w:color="auto"/>
        <w:right w:val="none" w:sz="0" w:space="0" w:color="auto"/>
      </w:divBdr>
    </w:div>
    <w:div w:id="1214076639">
      <w:bodyDiv w:val="1"/>
      <w:marLeft w:val="0"/>
      <w:marRight w:val="0"/>
      <w:marTop w:val="0"/>
      <w:marBottom w:val="0"/>
      <w:divBdr>
        <w:top w:val="none" w:sz="0" w:space="0" w:color="auto"/>
        <w:left w:val="none" w:sz="0" w:space="0" w:color="auto"/>
        <w:bottom w:val="none" w:sz="0" w:space="0" w:color="auto"/>
        <w:right w:val="none" w:sz="0" w:space="0" w:color="auto"/>
      </w:divBdr>
    </w:div>
    <w:div w:id="1267662872">
      <w:bodyDiv w:val="1"/>
      <w:marLeft w:val="0"/>
      <w:marRight w:val="0"/>
      <w:marTop w:val="0"/>
      <w:marBottom w:val="0"/>
      <w:divBdr>
        <w:top w:val="none" w:sz="0" w:space="0" w:color="auto"/>
        <w:left w:val="none" w:sz="0" w:space="0" w:color="auto"/>
        <w:bottom w:val="none" w:sz="0" w:space="0" w:color="auto"/>
        <w:right w:val="none" w:sz="0" w:space="0" w:color="auto"/>
      </w:divBdr>
    </w:div>
    <w:div w:id="1281492589">
      <w:bodyDiv w:val="1"/>
      <w:marLeft w:val="0"/>
      <w:marRight w:val="0"/>
      <w:marTop w:val="0"/>
      <w:marBottom w:val="0"/>
      <w:divBdr>
        <w:top w:val="none" w:sz="0" w:space="0" w:color="auto"/>
        <w:left w:val="none" w:sz="0" w:space="0" w:color="auto"/>
        <w:bottom w:val="none" w:sz="0" w:space="0" w:color="auto"/>
        <w:right w:val="none" w:sz="0" w:space="0" w:color="auto"/>
      </w:divBdr>
    </w:div>
    <w:div w:id="1297490756">
      <w:bodyDiv w:val="1"/>
      <w:marLeft w:val="0"/>
      <w:marRight w:val="0"/>
      <w:marTop w:val="0"/>
      <w:marBottom w:val="0"/>
      <w:divBdr>
        <w:top w:val="none" w:sz="0" w:space="0" w:color="auto"/>
        <w:left w:val="none" w:sz="0" w:space="0" w:color="auto"/>
        <w:bottom w:val="none" w:sz="0" w:space="0" w:color="auto"/>
        <w:right w:val="none" w:sz="0" w:space="0" w:color="auto"/>
      </w:divBdr>
    </w:div>
    <w:div w:id="1304432861">
      <w:bodyDiv w:val="1"/>
      <w:marLeft w:val="0"/>
      <w:marRight w:val="0"/>
      <w:marTop w:val="0"/>
      <w:marBottom w:val="0"/>
      <w:divBdr>
        <w:top w:val="none" w:sz="0" w:space="0" w:color="auto"/>
        <w:left w:val="none" w:sz="0" w:space="0" w:color="auto"/>
        <w:bottom w:val="none" w:sz="0" w:space="0" w:color="auto"/>
        <w:right w:val="none" w:sz="0" w:space="0" w:color="auto"/>
      </w:divBdr>
    </w:div>
    <w:div w:id="1312978043">
      <w:bodyDiv w:val="1"/>
      <w:marLeft w:val="0"/>
      <w:marRight w:val="0"/>
      <w:marTop w:val="0"/>
      <w:marBottom w:val="0"/>
      <w:divBdr>
        <w:top w:val="none" w:sz="0" w:space="0" w:color="auto"/>
        <w:left w:val="none" w:sz="0" w:space="0" w:color="auto"/>
        <w:bottom w:val="none" w:sz="0" w:space="0" w:color="auto"/>
        <w:right w:val="none" w:sz="0" w:space="0" w:color="auto"/>
      </w:divBdr>
    </w:div>
    <w:div w:id="1343095045">
      <w:bodyDiv w:val="1"/>
      <w:marLeft w:val="0"/>
      <w:marRight w:val="0"/>
      <w:marTop w:val="0"/>
      <w:marBottom w:val="0"/>
      <w:divBdr>
        <w:top w:val="none" w:sz="0" w:space="0" w:color="auto"/>
        <w:left w:val="none" w:sz="0" w:space="0" w:color="auto"/>
        <w:bottom w:val="none" w:sz="0" w:space="0" w:color="auto"/>
        <w:right w:val="none" w:sz="0" w:space="0" w:color="auto"/>
      </w:divBdr>
    </w:div>
    <w:div w:id="1372612756">
      <w:bodyDiv w:val="1"/>
      <w:marLeft w:val="0"/>
      <w:marRight w:val="0"/>
      <w:marTop w:val="0"/>
      <w:marBottom w:val="0"/>
      <w:divBdr>
        <w:top w:val="none" w:sz="0" w:space="0" w:color="auto"/>
        <w:left w:val="none" w:sz="0" w:space="0" w:color="auto"/>
        <w:bottom w:val="none" w:sz="0" w:space="0" w:color="auto"/>
        <w:right w:val="none" w:sz="0" w:space="0" w:color="auto"/>
      </w:divBdr>
    </w:div>
    <w:div w:id="1418361292">
      <w:bodyDiv w:val="1"/>
      <w:marLeft w:val="0"/>
      <w:marRight w:val="0"/>
      <w:marTop w:val="0"/>
      <w:marBottom w:val="0"/>
      <w:divBdr>
        <w:top w:val="none" w:sz="0" w:space="0" w:color="auto"/>
        <w:left w:val="none" w:sz="0" w:space="0" w:color="auto"/>
        <w:bottom w:val="none" w:sz="0" w:space="0" w:color="auto"/>
        <w:right w:val="none" w:sz="0" w:space="0" w:color="auto"/>
      </w:divBdr>
    </w:div>
    <w:div w:id="1424499284">
      <w:bodyDiv w:val="1"/>
      <w:marLeft w:val="0"/>
      <w:marRight w:val="0"/>
      <w:marTop w:val="0"/>
      <w:marBottom w:val="0"/>
      <w:divBdr>
        <w:top w:val="none" w:sz="0" w:space="0" w:color="auto"/>
        <w:left w:val="none" w:sz="0" w:space="0" w:color="auto"/>
        <w:bottom w:val="none" w:sz="0" w:space="0" w:color="auto"/>
        <w:right w:val="none" w:sz="0" w:space="0" w:color="auto"/>
      </w:divBdr>
    </w:div>
    <w:div w:id="1486776394">
      <w:bodyDiv w:val="1"/>
      <w:marLeft w:val="0"/>
      <w:marRight w:val="0"/>
      <w:marTop w:val="0"/>
      <w:marBottom w:val="0"/>
      <w:divBdr>
        <w:top w:val="none" w:sz="0" w:space="0" w:color="auto"/>
        <w:left w:val="none" w:sz="0" w:space="0" w:color="auto"/>
        <w:bottom w:val="none" w:sz="0" w:space="0" w:color="auto"/>
        <w:right w:val="none" w:sz="0" w:space="0" w:color="auto"/>
      </w:divBdr>
    </w:div>
    <w:div w:id="1523519129">
      <w:bodyDiv w:val="1"/>
      <w:marLeft w:val="0"/>
      <w:marRight w:val="0"/>
      <w:marTop w:val="0"/>
      <w:marBottom w:val="0"/>
      <w:divBdr>
        <w:top w:val="none" w:sz="0" w:space="0" w:color="auto"/>
        <w:left w:val="none" w:sz="0" w:space="0" w:color="auto"/>
        <w:bottom w:val="none" w:sz="0" w:space="0" w:color="auto"/>
        <w:right w:val="none" w:sz="0" w:space="0" w:color="auto"/>
      </w:divBdr>
    </w:div>
    <w:div w:id="1529559998">
      <w:bodyDiv w:val="1"/>
      <w:marLeft w:val="0"/>
      <w:marRight w:val="0"/>
      <w:marTop w:val="0"/>
      <w:marBottom w:val="0"/>
      <w:divBdr>
        <w:top w:val="none" w:sz="0" w:space="0" w:color="auto"/>
        <w:left w:val="none" w:sz="0" w:space="0" w:color="auto"/>
        <w:bottom w:val="none" w:sz="0" w:space="0" w:color="auto"/>
        <w:right w:val="none" w:sz="0" w:space="0" w:color="auto"/>
      </w:divBdr>
    </w:div>
    <w:div w:id="1533418368">
      <w:bodyDiv w:val="1"/>
      <w:marLeft w:val="0"/>
      <w:marRight w:val="0"/>
      <w:marTop w:val="0"/>
      <w:marBottom w:val="0"/>
      <w:divBdr>
        <w:top w:val="none" w:sz="0" w:space="0" w:color="auto"/>
        <w:left w:val="none" w:sz="0" w:space="0" w:color="auto"/>
        <w:bottom w:val="none" w:sz="0" w:space="0" w:color="auto"/>
        <w:right w:val="none" w:sz="0" w:space="0" w:color="auto"/>
      </w:divBdr>
    </w:div>
    <w:div w:id="1596550416">
      <w:bodyDiv w:val="1"/>
      <w:marLeft w:val="0"/>
      <w:marRight w:val="0"/>
      <w:marTop w:val="0"/>
      <w:marBottom w:val="0"/>
      <w:divBdr>
        <w:top w:val="none" w:sz="0" w:space="0" w:color="auto"/>
        <w:left w:val="none" w:sz="0" w:space="0" w:color="auto"/>
        <w:bottom w:val="none" w:sz="0" w:space="0" w:color="auto"/>
        <w:right w:val="none" w:sz="0" w:space="0" w:color="auto"/>
      </w:divBdr>
    </w:div>
    <w:div w:id="1623074622">
      <w:bodyDiv w:val="1"/>
      <w:marLeft w:val="0"/>
      <w:marRight w:val="0"/>
      <w:marTop w:val="0"/>
      <w:marBottom w:val="0"/>
      <w:divBdr>
        <w:top w:val="none" w:sz="0" w:space="0" w:color="auto"/>
        <w:left w:val="none" w:sz="0" w:space="0" w:color="auto"/>
        <w:bottom w:val="none" w:sz="0" w:space="0" w:color="auto"/>
        <w:right w:val="none" w:sz="0" w:space="0" w:color="auto"/>
      </w:divBdr>
    </w:div>
    <w:div w:id="1670135775">
      <w:bodyDiv w:val="1"/>
      <w:marLeft w:val="0"/>
      <w:marRight w:val="0"/>
      <w:marTop w:val="0"/>
      <w:marBottom w:val="0"/>
      <w:divBdr>
        <w:top w:val="none" w:sz="0" w:space="0" w:color="auto"/>
        <w:left w:val="none" w:sz="0" w:space="0" w:color="auto"/>
        <w:bottom w:val="none" w:sz="0" w:space="0" w:color="auto"/>
        <w:right w:val="none" w:sz="0" w:space="0" w:color="auto"/>
      </w:divBdr>
    </w:div>
    <w:div w:id="1696543641">
      <w:bodyDiv w:val="1"/>
      <w:marLeft w:val="0"/>
      <w:marRight w:val="0"/>
      <w:marTop w:val="0"/>
      <w:marBottom w:val="0"/>
      <w:divBdr>
        <w:top w:val="none" w:sz="0" w:space="0" w:color="auto"/>
        <w:left w:val="none" w:sz="0" w:space="0" w:color="auto"/>
        <w:bottom w:val="none" w:sz="0" w:space="0" w:color="auto"/>
        <w:right w:val="none" w:sz="0" w:space="0" w:color="auto"/>
      </w:divBdr>
    </w:div>
    <w:div w:id="1780296564">
      <w:bodyDiv w:val="1"/>
      <w:marLeft w:val="0"/>
      <w:marRight w:val="0"/>
      <w:marTop w:val="0"/>
      <w:marBottom w:val="0"/>
      <w:divBdr>
        <w:top w:val="none" w:sz="0" w:space="0" w:color="auto"/>
        <w:left w:val="none" w:sz="0" w:space="0" w:color="auto"/>
        <w:bottom w:val="none" w:sz="0" w:space="0" w:color="auto"/>
        <w:right w:val="none" w:sz="0" w:space="0" w:color="auto"/>
      </w:divBdr>
    </w:div>
    <w:div w:id="1798916905">
      <w:bodyDiv w:val="1"/>
      <w:marLeft w:val="0"/>
      <w:marRight w:val="0"/>
      <w:marTop w:val="0"/>
      <w:marBottom w:val="0"/>
      <w:divBdr>
        <w:top w:val="none" w:sz="0" w:space="0" w:color="auto"/>
        <w:left w:val="none" w:sz="0" w:space="0" w:color="auto"/>
        <w:bottom w:val="none" w:sz="0" w:space="0" w:color="auto"/>
        <w:right w:val="none" w:sz="0" w:space="0" w:color="auto"/>
      </w:divBdr>
    </w:div>
    <w:div w:id="1807237764">
      <w:bodyDiv w:val="1"/>
      <w:marLeft w:val="0"/>
      <w:marRight w:val="0"/>
      <w:marTop w:val="0"/>
      <w:marBottom w:val="0"/>
      <w:divBdr>
        <w:top w:val="none" w:sz="0" w:space="0" w:color="auto"/>
        <w:left w:val="none" w:sz="0" w:space="0" w:color="auto"/>
        <w:bottom w:val="none" w:sz="0" w:space="0" w:color="auto"/>
        <w:right w:val="none" w:sz="0" w:space="0" w:color="auto"/>
      </w:divBdr>
    </w:div>
    <w:div w:id="1854494024">
      <w:bodyDiv w:val="1"/>
      <w:marLeft w:val="0"/>
      <w:marRight w:val="0"/>
      <w:marTop w:val="0"/>
      <w:marBottom w:val="0"/>
      <w:divBdr>
        <w:top w:val="none" w:sz="0" w:space="0" w:color="auto"/>
        <w:left w:val="none" w:sz="0" w:space="0" w:color="auto"/>
        <w:bottom w:val="none" w:sz="0" w:space="0" w:color="auto"/>
        <w:right w:val="none" w:sz="0" w:space="0" w:color="auto"/>
      </w:divBdr>
    </w:div>
    <w:div w:id="1868136220">
      <w:bodyDiv w:val="1"/>
      <w:marLeft w:val="0"/>
      <w:marRight w:val="0"/>
      <w:marTop w:val="0"/>
      <w:marBottom w:val="0"/>
      <w:divBdr>
        <w:top w:val="none" w:sz="0" w:space="0" w:color="auto"/>
        <w:left w:val="none" w:sz="0" w:space="0" w:color="auto"/>
        <w:bottom w:val="none" w:sz="0" w:space="0" w:color="auto"/>
        <w:right w:val="none" w:sz="0" w:space="0" w:color="auto"/>
      </w:divBdr>
    </w:div>
    <w:div w:id="1901017368">
      <w:bodyDiv w:val="1"/>
      <w:marLeft w:val="0"/>
      <w:marRight w:val="0"/>
      <w:marTop w:val="0"/>
      <w:marBottom w:val="0"/>
      <w:divBdr>
        <w:top w:val="none" w:sz="0" w:space="0" w:color="auto"/>
        <w:left w:val="none" w:sz="0" w:space="0" w:color="auto"/>
        <w:bottom w:val="none" w:sz="0" w:space="0" w:color="auto"/>
        <w:right w:val="none" w:sz="0" w:space="0" w:color="auto"/>
      </w:divBdr>
    </w:div>
    <w:div w:id="1959600472">
      <w:bodyDiv w:val="1"/>
      <w:marLeft w:val="0"/>
      <w:marRight w:val="0"/>
      <w:marTop w:val="0"/>
      <w:marBottom w:val="0"/>
      <w:divBdr>
        <w:top w:val="none" w:sz="0" w:space="0" w:color="auto"/>
        <w:left w:val="none" w:sz="0" w:space="0" w:color="auto"/>
        <w:bottom w:val="none" w:sz="0" w:space="0" w:color="auto"/>
        <w:right w:val="none" w:sz="0" w:space="0" w:color="auto"/>
      </w:divBdr>
    </w:div>
    <w:div w:id="1964387797">
      <w:bodyDiv w:val="1"/>
      <w:marLeft w:val="0"/>
      <w:marRight w:val="0"/>
      <w:marTop w:val="0"/>
      <w:marBottom w:val="0"/>
      <w:divBdr>
        <w:top w:val="none" w:sz="0" w:space="0" w:color="auto"/>
        <w:left w:val="none" w:sz="0" w:space="0" w:color="auto"/>
        <w:bottom w:val="none" w:sz="0" w:space="0" w:color="auto"/>
        <w:right w:val="none" w:sz="0" w:space="0" w:color="auto"/>
      </w:divBdr>
    </w:div>
    <w:div w:id="1968392678">
      <w:bodyDiv w:val="1"/>
      <w:marLeft w:val="0"/>
      <w:marRight w:val="0"/>
      <w:marTop w:val="0"/>
      <w:marBottom w:val="0"/>
      <w:divBdr>
        <w:top w:val="none" w:sz="0" w:space="0" w:color="auto"/>
        <w:left w:val="none" w:sz="0" w:space="0" w:color="auto"/>
        <w:bottom w:val="none" w:sz="0" w:space="0" w:color="auto"/>
        <w:right w:val="none" w:sz="0" w:space="0" w:color="auto"/>
      </w:divBdr>
    </w:div>
    <w:div w:id="1972006352">
      <w:bodyDiv w:val="1"/>
      <w:marLeft w:val="0"/>
      <w:marRight w:val="0"/>
      <w:marTop w:val="0"/>
      <w:marBottom w:val="0"/>
      <w:divBdr>
        <w:top w:val="none" w:sz="0" w:space="0" w:color="auto"/>
        <w:left w:val="none" w:sz="0" w:space="0" w:color="auto"/>
        <w:bottom w:val="none" w:sz="0" w:space="0" w:color="auto"/>
        <w:right w:val="none" w:sz="0" w:space="0" w:color="auto"/>
      </w:divBdr>
    </w:div>
    <w:div w:id="1980837896">
      <w:bodyDiv w:val="1"/>
      <w:marLeft w:val="0"/>
      <w:marRight w:val="0"/>
      <w:marTop w:val="0"/>
      <w:marBottom w:val="0"/>
      <w:divBdr>
        <w:top w:val="none" w:sz="0" w:space="0" w:color="auto"/>
        <w:left w:val="none" w:sz="0" w:space="0" w:color="auto"/>
        <w:bottom w:val="none" w:sz="0" w:space="0" w:color="auto"/>
        <w:right w:val="none" w:sz="0" w:space="0" w:color="auto"/>
      </w:divBdr>
    </w:div>
    <w:div w:id="1981954292">
      <w:bodyDiv w:val="1"/>
      <w:marLeft w:val="0"/>
      <w:marRight w:val="0"/>
      <w:marTop w:val="0"/>
      <w:marBottom w:val="0"/>
      <w:divBdr>
        <w:top w:val="none" w:sz="0" w:space="0" w:color="auto"/>
        <w:left w:val="none" w:sz="0" w:space="0" w:color="auto"/>
        <w:bottom w:val="none" w:sz="0" w:space="0" w:color="auto"/>
        <w:right w:val="none" w:sz="0" w:space="0" w:color="auto"/>
      </w:divBdr>
    </w:div>
    <w:div w:id="1988321798">
      <w:bodyDiv w:val="1"/>
      <w:marLeft w:val="0"/>
      <w:marRight w:val="0"/>
      <w:marTop w:val="0"/>
      <w:marBottom w:val="0"/>
      <w:divBdr>
        <w:top w:val="none" w:sz="0" w:space="0" w:color="auto"/>
        <w:left w:val="none" w:sz="0" w:space="0" w:color="auto"/>
        <w:bottom w:val="none" w:sz="0" w:space="0" w:color="auto"/>
        <w:right w:val="none" w:sz="0" w:space="0" w:color="auto"/>
      </w:divBdr>
    </w:div>
    <w:div w:id="2005231782">
      <w:bodyDiv w:val="1"/>
      <w:marLeft w:val="0"/>
      <w:marRight w:val="0"/>
      <w:marTop w:val="0"/>
      <w:marBottom w:val="0"/>
      <w:divBdr>
        <w:top w:val="none" w:sz="0" w:space="0" w:color="auto"/>
        <w:left w:val="none" w:sz="0" w:space="0" w:color="auto"/>
        <w:bottom w:val="none" w:sz="0" w:space="0" w:color="auto"/>
        <w:right w:val="none" w:sz="0" w:space="0" w:color="auto"/>
      </w:divBdr>
    </w:div>
    <w:div w:id="2008901246">
      <w:bodyDiv w:val="1"/>
      <w:marLeft w:val="0"/>
      <w:marRight w:val="0"/>
      <w:marTop w:val="0"/>
      <w:marBottom w:val="0"/>
      <w:divBdr>
        <w:top w:val="none" w:sz="0" w:space="0" w:color="auto"/>
        <w:left w:val="none" w:sz="0" w:space="0" w:color="auto"/>
        <w:bottom w:val="none" w:sz="0" w:space="0" w:color="auto"/>
        <w:right w:val="none" w:sz="0" w:space="0" w:color="auto"/>
      </w:divBdr>
    </w:div>
    <w:div w:id="2045206461">
      <w:bodyDiv w:val="1"/>
      <w:marLeft w:val="0"/>
      <w:marRight w:val="0"/>
      <w:marTop w:val="0"/>
      <w:marBottom w:val="0"/>
      <w:divBdr>
        <w:top w:val="none" w:sz="0" w:space="0" w:color="auto"/>
        <w:left w:val="none" w:sz="0" w:space="0" w:color="auto"/>
        <w:bottom w:val="none" w:sz="0" w:space="0" w:color="auto"/>
        <w:right w:val="none" w:sz="0" w:space="0" w:color="auto"/>
      </w:divBdr>
    </w:div>
    <w:div w:id="2081516020">
      <w:bodyDiv w:val="1"/>
      <w:marLeft w:val="0"/>
      <w:marRight w:val="0"/>
      <w:marTop w:val="0"/>
      <w:marBottom w:val="0"/>
      <w:divBdr>
        <w:top w:val="none" w:sz="0" w:space="0" w:color="auto"/>
        <w:left w:val="none" w:sz="0" w:space="0" w:color="auto"/>
        <w:bottom w:val="none" w:sz="0" w:space="0" w:color="auto"/>
        <w:right w:val="none" w:sz="0" w:space="0" w:color="auto"/>
      </w:divBdr>
    </w:div>
    <w:div w:id="2090345234">
      <w:bodyDiv w:val="1"/>
      <w:marLeft w:val="0"/>
      <w:marRight w:val="0"/>
      <w:marTop w:val="0"/>
      <w:marBottom w:val="0"/>
      <w:divBdr>
        <w:top w:val="none" w:sz="0" w:space="0" w:color="auto"/>
        <w:left w:val="none" w:sz="0" w:space="0" w:color="auto"/>
        <w:bottom w:val="none" w:sz="0" w:space="0" w:color="auto"/>
        <w:right w:val="none" w:sz="0" w:space="0" w:color="auto"/>
      </w:divBdr>
    </w:div>
    <w:div w:id="2099710722">
      <w:bodyDiv w:val="1"/>
      <w:marLeft w:val="0"/>
      <w:marRight w:val="0"/>
      <w:marTop w:val="0"/>
      <w:marBottom w:val="0"/>
      <w:divBdr>
        <w:top w:val="none" w:sz="0" w:space="0" w:color="auto"/>
        <w:left w:val="none" w:sz="0" w:space="0" w:color="auto"/>
        <w:bottom w:val="none" w:sz="0" w:space="0" w:color="auto"/>
        <w:right w:val="none" w:sz="0" w:space="0" w:color="auto"/>
      </w:divBdr>
    </w:div>
    <w:div w:id="2127967438">
      <w:bodyDiv w:val="1"/>
      <w:marLeft w:val="0"/>
      <w:marRight w:val="0"/>
      <w:marTop w:val="0"/>
      <w:marBottom w:val="0"/>
      <w:divBdr>
        <w:top w:val="none" w:sz="0" w:space="0" w:color="auto"/>
        <w:left w:val="none" w:sz="0" w:space="0" w:color="auto"/>
        <w:bottom w:val="none" w:sz="0" w:space="0" w:color="auto"/>
        <w:right w:val="none" w:sz="0" w:space="0" w:color="auto"/>
      </w:divBdr>
    </w:div>
    <w:div w:id="21335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5CA8D-4099-47CB-8B11-47A98E240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25765</Words>
  <Characters>139136</Characters>
  <Application>Microsoft Office Word</Application>
  <DocSecurity>0</DocSecurity>
  <Lines>1159</Lines>
  <Paragraphs>329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Cancela</dc:creator>
  <cp:keywords/>
  <dc:description/>
  <cp:lastModifiedBy>João Cancela</cp:lastModifiedBy>
  <cp:revision>3</cp:revision>
  <cp:lastPrinted>2016-09-19T10:24:00Z</cp:lastPrinted>
  <dcterms:created xsi:type="dcterms:W3CDTF">2019-08-16T10:28:00Z</dcterms:created>
  <dcterms:modified xsi:type="dcterms:W3CDTF">2019-08-16T10:29:00Z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id="V6v6YPsU"/&gt;&lt;style id="http://www.zotero.org/styles/french-politics"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