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jpeg" ContentType="image/jpe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/>
        <w:drawing>
          <wp:inline distT="0" distB="0" distL="0" distR="0">
            <wp:extent cx="3058795" cy="1169670"/>
            <wp:effectExtent l="0" t="0" r="0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795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360"/>
        <w:jc w:val="center"/>
        <w:rPr>
          <w:rFonts w:ascii="Arial" w:hAnsi="Arial" w:eastAsia="Arial" w:cs="Arial"/>
          <w:b/>
          <w:b/>
          <w:color w:val="000000" w:themeColor="text1"/>
          <w:sz w:val="24"/>
          <w:szCs w:val="24"/>
        </w:rPr>
      </w:pPr>
      <w:r>
        <w:rPr>
          <w:rFonts w:eastAsia="Arial" w:cs="Arial" w:ascii="Arial" w:hAnsi="Arial"/>
          <w:b/>
          <w:color w:val="000000" w:themeColor="text1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color w:val="000000" w:themeColor="text1"/>
          <w:sz w:val="24"/>
          <w:szCs w:val="24"/>
        </w:rPr>
        <w:t>QUALIDADE DE SOFTWARE</w:t>
      </w:r>
    </w:p>
    <w:p>
      <w:pPr>
        <w:pStyle w:val="Normal"/>
        <w:spacing w:lineRule="auto" w:line="360"/>
        <w:jc w:val="center"/>
        <w:rPr>
          <w:rFonts w:ascii="Arial" w:hAnsi="Arial" w:eastAsia="Arial" w:cs="Arial"/>
          <w:b/>
          <w:b/>
          <w:color w:val="000000" w:themeColor="text1"/>
          <w:sz w:val="24"/>
          <w:szCs w:val="24"/>
        </w:rPr>
      </w:pPr>
      <w:r>
        <w:rPr>
          <w:rFonts w:eastAsia="Arial" w:cs="Arial" w:ascii="Arial" w:hAnsi="Arial"/>
          <w:b/>
          <w:color w:val="000000" w:themeColor="text1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  <w:t xml:space="preserve">João Pedro Carvalho </w:t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  <w:t xml:space="preserve">Análise de Qualidade </w:t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  <w:t>São Paulo</w:t>
      </w:r>
    </w:p>
    <w:p>
      <w:pPr>
        <w:pStyle w:val="Normal"/>
        <w:spacing w:lineRule="auto" w:line="360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  <w:t>2023</w:t>
      </w:r>
    </w:p>
    <w:p>
      <w:pPr>
        <w:pStyle w:val="Normal"/>
        <w:spacing w:lineRule="auto" w:line="360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</w:p>
    <w:p>
      <w:pPr>
        <w:pStyle w:val="Ttulo1"/>
        <w:numPr>
          <w:ilvl w:val="0"/>
          <w:numId w:val="1"/>
        </w:numPr>
        <w:rPr/>
      </w:pPr>
      <w:bookmarkStart w:id="0" w:name="_Toc73287557"/>
      <w:r>
        <w:rPr/>
        <w:t>RESUMO</w:t>
      </w:r>
      <w:bookmarkEnd w:id="0"/>
    </w:p>
    <w:p>
      <w:pPr>
        <w:pStyle w:val="Normal"/>
        <w:rPr/>
      </w:pPr>
      <w:r>
        <w:rPr/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  <w:t xml:space="preserve">O Monitor Gamer SuperFrame Precision (Modelo: SFP2415 FHD) se destaca como uma solução de alta qualidade para entusiastas de jogos e profissionais exigentes. Com uma estrutura robusta combinada com materiais de alta densidade e metal, oferece durabilidade e resistência. O acabamento refinado, livre de imperfeições, evidencia um processo de produção cuidadoso. Sua usabilidade é marcada por controles intuitivos e um menu de fácil navegação, proporcionando uma experiência de jogo sem latência perceptível, graças à impressionante taxa de atualização de 180Hz e tempo de resposta de 1ms. O design curvo e ergonômico, juntamente com bordas finas, contribuem para a estética moderna e imersiva. Além disso, o monitor apresenta características adicionais valiosas, como suporte FreeSync e uma ampla cobertura de cores sRGB. No entanto, a adição de alto-falantes integrados poderia enriquecer a experiência multimídia. Em resumo, o SuperFrame Precision oferece um equilíbrio excepcional entre construção de qualidade, desempenho e funcionalidades avançadas, sendo uma escolha notável para entusiastas de jogos e profissionais que buscam precisão visual. </w:t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  <w:r>
        <w:br w:type="page"/>
      </w:r>
    </w:p>
    <w:p>
      <w:pPr>
        <w:pStyle w:val="Ttulo1"/>
        <w:numPr>
          <w:ilvl w:val="0"/>
          <w:numId w:val="1"/>
        </w:numPr>
        <w:rPr/>
      </w:pPr>
      <w:bookmarkStart w:id="1" w:name="_Toc73287558"/>
      <w:r>
        <w:rPr/>
        <w:t>SUMÁRIO</w:t>
      </w:r>
      <w:bookmarkEnd w:id="1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Sumrio1"/>
            <w:tabs>
              <w:tab w:val="clear" w:pos="708"/>
              <w:tab w:val="left" w:pos="440" w:leader="none"/>
              <w:tab w:val="right" w:pos="8494" w:leader="dot"/>
            </w:tabs>
            <w:rPr>
              <w:rFonts w:eastAsia="" w:eastAsiaTheme="minorEastAsia"/>
              <w:b w:val="false"/>
              <w:b w:val="false"/>
              <w:bCs w:val="false"/>
              <w:i w:val="false"/>
              <w:i w:val="false"/>
              <w:iCs w:val="false"/>
              <w:lang w:eastAsia="pt-BR"/>
            </w:rPr>
          </w:pPr>
          <w:r>
            <w:fldChar w:fldCharType="begin"/>
          </w:r>
          <w:r>
            <w:rPr>
              <w:webHidden/>
              <w:rStyle w:val="Vnculodendice"/>
            </w:rPr>
            <w:instrText xml:space="preserve"> TOC \z \o "1-3" \u \h</w:instrText>
          </w:r>
          <w:r>
            <w:rPr>
              <w:webHidden/>
              <w:rStyle w:val="Vnculodendice"/>
            </w:rPr>
            <w:fldChar w:fldCharType="separate"/>
          </w:r>
          <w:hyperlink w:anchor="_Toc73287557">
            <w:r>
              <w:rPr>
                <w:webHidden/>
                <w:rStyle w:val="Vnculodendice"/>
              </w:rPr>
              <w:t>1.</w:t>
            </w:r>
            <w:r>
              <w:rPr>
                <w:rStyle w:val="Vnculodendice"/>
                <w:rFonts w:eastAsia="" w:eastAsiaTheme="minorEastAsia"/>
                <w:b w:val="false"/>
                <w:bCs w:val="false"/>
                <w:i w:val="false"/>
                <w:iCs w:val="false"/>
                <w:lang w:eastAsia="pt-BR"/>
              </w:rPr>
              <w:tab/>
            </w:r>
            <w:r>
              <w:rPr>
                <w:rStyle w:val="Vnculodendice"/>
              </w:rPr>
              <w:t>RESUMO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_Toc73287557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1"/>
            <w:tabs>
              <w:tab w:val="clear" w:pos="708"/>
              <w:tab w:val="left" w:pos="440" w:leader="none"/>
              <w:tab w:val="right" w:pos="8494" w:leader="dot"/>
            </w:tabs>
            <w:rPr>
              <w:rFonts w:eastAsia="" w:eastAsiaTheme="minorEastAsia"/>
              <w:b w:val="false"/>
              <w:b w:val="false"/>
              <w:bCs w:val="false"/>
              <w:i w:val="false"/>
              <w:i w:val="false"/>
              <w:iCs w:val="false"/>
              <w:lang w:eastAsia="pt-BR"/>
            </w:rPr>
          </w:pPr>
          <w:hyperlink w:anchor="_Toc73287558">
            <w:r>
              <w:rPr>
                <w:webHidden/>
                <w:rStyle w:val="Vnculodendice"/>
              </w:rPr>
              <w:t>2.</w:t>
            </w:r>
            <w:r>
              <w:rPr>
                <w:rStyle w:val="Vnculodendice"/>
                <w:rFonts w:eastAsia="" w:eastAsiaTheme="minorEastAsia"/>
                <w:b w:val="false"/>
                <w:bCs w:val="false"/>
                <w:i w:val="false"/>
                <w:iCs w:val="false"/>
                <w:lang w:eastAsia="pt-BR"/>
              </w:rPr>
              <w:tab/>
            </w:r>
            <w:r>
              <w:rPr>
                <w:rStyle w:val="Vnculodendice"/>
              </w:rPr>
              <w:t>SUMÁRIO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_Toc73287558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1"/>
            <w:tabs>
              <w:tab w:val="clear" w:pos="708"/>
              <w:tab w:val="left" w:pos="440" w:leader="none"/>
              <w:tab w:val="right" w:pos="8494" w:leader="dot"/>
            </w:tabs>
            <w:rPr>
              <w:rFonts w:eastAsia="" w:eastAsiaTheme="minorEastAsia"/>
              <w:b w:val="false"/>
              <w:b w:val="false"/>
              <w:bCs w:val="false"/>
              <w:i w:val="false"/>
              <w:i w:val="false"/>
              <w:iCs w:val="false"/>
              <w:lang w:eastAsia="pt-BR"/>
            </w:rPr>
          </w:pPr>
          <w:hyperlink w:anchor="_Toc73287559">
            <w:r>
              <w:rPr>
                <w:webHidden/>
                <w:rStyle w:val="Vnculodendice"/>
              </w:rPr>
              <w:t>3.</w:t>
            </w:r>
            <w:r>
              <w:rPr>
                <w:rStyle w:val="Vnculodendice"/>
                <w:rFonts w:eastAsia="" w:eastAsiaTheme="minorEastAsia"/>
                <w:b w:val="false"/>
                <w:bCs w:val="false"/>
                <w:i w:val="false"/>
                <w:iCs w:val="false"/>
                <w:lang w:eastAsia="pt-BR"/>
              </w:rPr>
              <w:tab/>
            </w:r>
            <w:r>
              <w:rPr>
                <w:rStyle w:val="Vnculodendice"/>
              </w:rPr>
              <w:t>INTRODUÇÃO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_Toc73287559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1"/>
            <w:tabs>
              <w:tab w:val="clear" w:pos="708"/>
              <w:tab w:val="left" w:pos="440" w:leader="none"/>
              <w:tab w:val="right" w:pos="8494" w:leader="dot"/>
            </w:tabs>
            <w:rPr>
              <w:rFonts w:eastAsia="" w:eastAsiaTheme="minorEastAsia"/>
              <w:b w:val="false"/>
              <w:b w:val="false"/>
              <w:bCs w:val="false"/>
              <w:i w:val="false"/>
              <w:i w:val="false"/>
              <w:iCs w:val="false"/>
              <w:lang w:eastAsia="pt-BR"/>
            </w:rPr>
          </w:pPr>
          <w:hyperlink w:anchor="_Toc73287560">
            <w:r>
              <w:rPr>
                <w:webHidden/>
                <w:rStyle w:val="Vnculodendice"/>
              </w:rPr>
              <w:t>4.</w:t>
            </w:r>
            <w:r>
              <w:rPr>
                <w:rStyle w:val="Vnculodendice"/>
                <w:rFonts w:eastAsia="" w:eastAsiaTheme="minorEastAsia"/>
                <w:b w:val="false"/>
                <w:bCs w:val="false"/>
                <w:i w:val="false"/>
                <w:iCs w:val="false"/>
                <w:lang w:eastAsia="pt-BR"/>
              </w:rPr>
              <w:tab/>
            </w:r>
            <w:r>
              <w:rPr>
                <w:rStyle w:val="Vnculodendice"/>
              </w:rPr>
              <w:t>O PROJETO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_Toc73287560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2"/>
            <w:tabs>
              <w:tab w:val="clear" w:pos="708"/>
              <w:tab w:val="left" w:pos="880" w:leader="none"/>
              <w:tab w:val="right" w:pos="8494" w:leader="dot"/>
            </w:tabs>
            <w:rPr>
              <w:rFonts w:eastAsia="" w:eastAsiaTheme="minorEastAsia"/>
              <w:b w:val="false"/>
              <w:b w:val="false"/>
              <w:bCs w:val="false"/>
              <w:sz w:val="24"/>
              <w:szCs w:val="24"/>
              <w:lang w:eastAsia="pt-BR"/>
            </w:rPr>
          </w:pPr>
          <w:hyperlink w:anchor="_Toc73287561">
            <w:r>
              <w:rPr>
                <w:webHidden/>
                <w:rStyle w:val="Vnculodendice"/>
              </w:rPr>
              <w:t>4.1</w:t>
            </w:r>
            <w:r>
              <w:rPr>
                <w:rStyle w:val="Vnculodendice"/>
                <w:rFonts w:eastAsia="" w:eastAsiaTheme="minorEastAsia"/>
                <w:b w:val="false"/>
                <w:bCs w:val="false"/>
                <w:sz w:val="24"/>
                <w:szCs w:val="24"/>
                <w:lang w:eastAsia="pt-BR"/>
              </w:rPr>
              <w:tab/>
            </w:r>
            <w:r>
              <w:rPr>
                <w:rStyle w:val="Vnculodendice"/>
              </w:rPr>
              <w:t>Detalhes do produto ou serviço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_Toc73287561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2"/>
            <w:tabs>
              <w:tab w:val="clear" w:pos="708"/>
              <w:tab w:val="left" w:pos="880" w:leader="none"/>
              <w:tab w:val="right" w:pos="8494" w:leader="dot"/>
            </w:tabs>
            <w:rPr>
              <w:rFonts w:eastAsia="" w:eastAsiaTheme="minorEastAsia"/>
              <w:b w:val="false"/>
              <w:b w:val="false"/>
              <w:bCs w:val="false"/>
              <w:sz w:val="24"/>
              <w:szCs w:val="24"/>
              <w:lang w:eastAsia="pt-BR"/>
            </w:rPr>
          </w:pPr>
          <w:hyperlink w:anchor="_Toc73287562">
            <w:r>
              <w:rPr>
                <w:webHidden/>
                <w:rStyle w:val="Vnculodendice"/>
              </w:rPr>
              <w:t>4.2</w:t>
            </w:r>
            <w:r>
              <w:rPr>
                <w:rStyle w:val="Vnculodendice"/>
                <w:rFonts w:eastAsia="" w:eastAsiaTheme="minorEastAsia"/>
                <w:b w:val="false"/>
                <w:bCs w:val="false"/>
                <w:sz w:val="24"/>
                <w:szCs w:val="24"/>
                <w:lang w:eastAsia="pt-BR"/>
              </w:rPr>
              <w:tab/>
            </w:r>
            <w:r>
              <w:rPr>
                <w:rStyle w:val="Vnculodendice"/>
              </w:rPr>
              <w:t>Tabela de Análise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_Toc73287562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2"/>
            <w:tabs>
              <w:tab w:val="clear" w:pos="708"/>
              <w:tab w:val="left" w:pos="880" w:leader="none"/>
              <w:tab w:val="right" w:pos="8494" w:leader="dot"/>
            </w:tabs>
            <w:rPr>
              <w:rFonts w:eastAsia="" w:eastAsiaTheme="minorEastAsia"/>
              <w:b w:val="false"/>
              <w:b w:val="false"/>
              <w:bCs w:val="false"/>
              <w:sz w:val="24"/>
              <w:szCs w:val="24"/>
              <w:lang w:eastAsia="pt-BR"/>
            </w:rPr>
          </w:pPr>
          <w:hyperlink w:anchor="_Toc73287563">
            <w:r>
              <w:rPr>
                <w:webHidden/>
                <w:rStyle w:val="Vnculodendice"/>
              </w:rPr>
              <w:t>4.3</w:t>
            </w:r>
            <w:r>
              <w:rPr>
                <w:rStyle w:val="Vnculodendice"/>
                <w:rFonts w:eastAsia="" w:eastAsiaTheme="minorEastAsia"/>
                <w:b w:val="false"/>
                <w:bCs w:val="false"/>
                <w:sz w:val="24"/>
                <w:szCs w:val="24"/>
                <w:lang w:eastAsia="pt-BR"/>
              </w:rPr>
              <w:tab/>
            </w:r>
            <w:r>
              <w:rPr>
                <w:rStyle w:val="Vnculodendice"/>
              </w:rPr>
              <w:t>Relatório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_Toc73287563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2"/>
            <w:tabs>
              <w:tab w:val="clear" w:pos="708"/>
              <w:tab w:val="left" w:pos="880" w:leader="none"/>
              <w:tab w:val="right" w:pos="8494" w:leader="dot"/>
            </w:tabs>
            <w:rPr>
              <w:rFonts w:eastAsia="" w:eastAsiaTheme="minorEastAsia"/>
              <w:b w:val="false"/>
              <w:b w:val="false"/>
              <w:bCs w:val="false"/>
              <w:sz w:val="24"/>
              <w:szCs w:val="24"/>
              <w:lang w:eastAsia="pt-BR"/>
            </w:rPr>
          </w:pPr>
          <w:hyperlink w:anchor="_Toc73287564">
            <w:r>
              <w:rPr>
                <w:webHidden/>
                <w:rStyle w:val="Vnculodendice"/>
              </w:rPr>
              <w:t>4.4</w:t>
            </w:r>
            <w:r>
              <w:rPr>
                <w:rStyle w:val="Vnculodendice"/>
                <w:rFonts w:eastAsia="" w:eastAsiaTheme="minorEastAsia"/>
                <w:b w:val="false"/>
                <w:bCs w:val="false"/>
                <w:sz w:val="24"/>
                <w:szCs w:val="24"/>
                <w:lang w:eastAsia="pt-BR"/>
              </w:rPr>
              <w:tab/>
            </w:r>
            <w:r>
              <w:rPr>
                <w:rStyle w:val="Vnculodendice"/>
              </w:rPr>
              <w:t>Evidências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_Toc73287564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2"/>
            <w:tabs>
              <w:tab w:val="clear" w:pos="708"/>
              <w:tab w:val="left" w:pos="880" w:leader="none"/>
              <w:tab w:val="right" w:pos="8494" w:leader="dot"/>
            </w:tabs>
            <w:rPr>
              <w:rFonts w:eastAsia="" w:eastAsiaTheme="minorEastAsia"/>
              <w:b w:val="false"/>
              <w:b w:val="false"/>
              <w:bCs w:val="false"/>
              <w:sz w:val="24"/>
              <w:szCs w:val="24"/>
              <w:lang w:eastAsia="pt-BR"/>
            </w:rPr>
          </w:pPr>
          <w:hyperlink w:anchor="_Toc73287565">
            <w:r>
              <w:rPr>
                <w:webHidden/>
                <w:rStyle w:val="Vnculodendice"/>
              </w:rPr>
              <w:t>4.5</w:t>
            </w:r>
            <w:r>
              <w:rPr>
                <w:rStyle w:val="Vnculodendice"/>
                <w:rFonts w:eastAsia="" w:eastAsiaTheme="minorEastAsia"/>
                <w:b w:val="false"/>
                <w:bCs w:val="false"/>
                <w:sz w:val="24"/>
                <w:szCs w:val="24"/>
                <w:lang w:eastAsia="pt-BR"/>
              </w:rPr>
              <w:tab/>
            </w:r>
            <w:r>
              <w:rPr>
                <w:rStyle w:val="Vnculodendice"/>
              </w:rPr>
              <w:t>Onde encontrar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_Toc73287565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1"/>
            <w:tabs>
              <w:tab w:val="clear" w:pos="708"/>
              <w:tab w:val="left" w:pos="440" w:leader="none"/>
              <w:tab w:val="right" w:pos="8494" w:leader="dot"/>
            </w:tabs>
            <w:rPr>
              <w:rFonts w:eastAsia="" w:eastAsiaTheme="minorEastAsia"/>
              <w:b w:val="false"/>
              <w:b w:val="false"/>
              <w:bCs w:val="false"/>
              <w:i w:val="false"/>
              <w:i w:val="false"/>
              <w:iCs w:val="false"/>
              <w:lang w:eastAsia="pt-BR"/>
            </w:rPr>
          </w:pPr>
          <w:hyperlink w:anchor="_Toc73287566">
            <w:r>
              <w:rPr>
                <w:webHidden/>
                <w:rStyle w:val="Vnculodendice"/>
              </w:rPr>
              <w:t>5.</w:t>
            </w:r>
            <w:r>
              <w:rPr>
                <w:rStyle w:val="Vnculodendice"/>
                <w:rFonts w:eastAsia="" w:eastAsiaTheme="minorEastAsia"/>
                <w:b w:val="false"/>
                <w:bCs w:val="false"/>
                <w:i w:val="false"/>
                <w:iCs w:val="false"/>
                <w:lang w:eastAsia="pt-BR"/>
              </w:rPr>
              <w:tab/>
            </w:r>
            <w:r>
              <w:rPr>
                <w:rStyle w:val="Vnculodendice"/>
              </w:rPr>
              <w:t>CONCLUSÃO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_Toc73287566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1"/>
            <w:tabs>
              <w:tab w:val="clear" w:pos="708"/>
              <w:tab w:val="left" w:pos="440" w:leader="none"/>
              <w:tab w:val="right" w:pos="8494" w:leader="dot"/>
            </w:tabs>
            <w:rPr>
              <w:rFonts w:eastAsia="" w:eastAsiaTheme="minorEastAsia"/>
              <w:b w:val="false"/>
              <w:b w:val="false"/>
              <w:bCs w:val="false"/>
              <w:i w:val="false"/>
              <w:i w:val="false"/>
              <w:iCs w:val="false"/>
              <w:lang w:eastAsia="pt-BR"/>
            </w:rPr>
          </w:pPr>
          <w:hyperlink w:anchor="_Toc73287567">
            <w:r>
              <w:rPr>
                <w:webHidden/>
                <w:rStyle w:val="Vnculodendice"/>
              </w:rPr>
              <w:t>6.</w:t>
            </w:r>
            <w:r>
              <w:rPr>
                <w:rStyle w:val="Vnculodendice"/>
                <w:rFonts w:eastAsia="" w:eastAsiaTheme="minorEastAsia"/>
                <w:b w:val="false"/>
                <w:bCs w:val="false"/>
                <w:i w:val="false"/>
                <w:iCs w:val="false"/>
                <w:lang w:eastAsia="pt-BR"/>
              </w:rPr>
              <w:tab/>
            </w:r>
            <w:r>
              <w:rPr>
                <w:rStyle w:val="Vnculodendice"/>
              </w:rPr>
              <w:t>REFERÊNCIAS BIBLIOGRÁFICAS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_Toc73287567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  <w:r>
            <w:rPr>
              <w:rStyle w:val="Vnculodendice"/>
              <w:vanish w:val="false"/>
            </w:rPr>
            <w:fldChar w:fldCharType="end"/>
          </w:r>
        </w:p>
      </w:sdtContent>
    </w:sdt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</w:p>
    <w:p>
      <w:pPr>
        <w:pStyle w:val="Ttulo1"/>
        <w:numPr>
          <w:ilvl w:val="0"/>
          <w:numId w:val="1"/>
        </w:numPr>
        <w:rPr/>
      </w:pPr>
      <w:bookmarkStart w:id="2" w:name="_Toc73287559"/>
      <w:r>
        <w:rPr/>
        <w:t>INTRODUÇÃO</w:t>
      </w:r>
      <w:bookmarkEnd w:id="2"/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  <w:t>No contexto da constante evolução tecnológica, a análise detalhada de produtos torna-se um ponto crucial para garantir a excelência em sua utilização. Este projeto se propõe a realizar uma análise abrangente de um produto de destaque no mercado atual: o Monitor Gamer SuperFrame Precision (Modelo: SFP2415 FHD). A metodologia adotada se baseia na perspectiva de um Analista de Qualidade, cuja expertise reside em traduzir percepções e evidências tangíveis em um relatório conclusivo.</w:t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/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  <w:t>O objetivo central é examinar todas as facetas relevantes deste monitor, desde a matéria-prima empregada em sua fabricação até os elementos que o tornam uma escolha valiosa para entusiastas de jogos e profissionais exigentes. O escopo de nossa análise abarca a avaliação de critérios como matéria-prima, acabamento, durabilidade, usabilidade e design, além de considerar funcionalidades adicionais que agregam valor ao produto.</w:t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/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  <w:t>Dessa forma, este projeto visa proporcionar uma visão completa e criteriosa sobre o Monitor Gamer SuperFrame Precision, com o intuito de orientar consumidores informados na tomada de decisões e, ao mesmo tempo, fornecer à fabricante insights valiosos para aprimoramentos futuros. Ao longo deste relatório, suas percepções serão essenciais para a construção de um entendimento abalizado e a formulação de recomendações pertinentes para a busca da melhoria contínua.</w:t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</w:p>
    <w:p>
      <w:pPr>
        <w:pStyle w:val="Ttulo1"/>
        <w:numPr>
          <w:ilvl w:val="0"/>
          <w:numId w:val="1"/>
        </w:numPr>
        <w:rPr/>
      </w:pPr>
      <w:bookmarkStart w:id="3" w:name="_Toc73287560"/>
      <w:r>
        <w:rPr/>
        <w:t>O PROJETO</w:t>
      </w:r>
      <w:bookmarkEnd w:id="3"/>
    </w:p>
    <w:p>
      <w:pPr>
        <w:pStyle w:val="Normal"/>
        <w:rPr/>
      </w:pPr>
      <w:r>
        <w:rPr/>
      </w:r>
    </w:p>
    <w:p>
      <w:pPr>
        <w:pStyle w:val="Normal"/>
        <w:spacing w:lineRule="auto" w:line="36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cs="Arial" w:ascii="Arial" w:hAnsi="Arial"/>
          <w:color w:val="000000" w:themeColor="text1"/>
          <w:sz w:val="24"/>
          <w:szCs w:val="24"/>
        </w:rPr>
        <w:t>O objetivo deste projeto é conduzir uma análise minuciosa do Monitor Gamer SuperFrame Precision, visto que o produto se encontra no âmbito de meu uso pessoal, proporcionando uma visão aprofundada de suas características qualitativas. Esta análise será realizada sob a perspectiva de um auditor de qualidade, com o intuito de avaliar diversas dimensões, incluindo durabilidade, material, usabilidade, performance, acessibilidade, entre outros aspectos relevantes.</w:t>
      </w:r>
      <w:r>
        <w:rPr>
          <w:rFonts w:cs="Arial" w:ascii="Arial" w:hAnsi="Arial"/>
          <w:color w:val="000000" w:themeColor="text1"/>
          <w:sz w:val="24"/>
          <w:szCs w:val="24"/>
        </w:rPr>
        <w:t xml:space="preserve"> </w:t>
      </w:r>
    </w:p>
    <w:p>
      <w:pPr>
        <w:pStyle w:val="Normal"/>
        <w:spacing w:lineRule="auto" w:line="36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cs="Arial" w:ascii="Arial" w:hAnsi="Arial"/>
          <w:color w:val="000000" w:themeColor="text1"/>
          <w:sz w:val="24"/>
          <w:szCs w:val="24"/>
        </w:rPr>
      </w:r>
    </w:p>
    <w:p>
      <w:pPr>
        <w:pStyle w:val="Ttulo2"/>
        <w:numPr>
          <w:ilvl w:val="1"/>
          <w:numId w:val="1"/>
        </w:numPr>
        <w:rPr/>
      </w:pPr>
      <w:bookmarkStart w:id="4" w:name="_Toc73287561"/>
      <w:r>
        <w:rPr/>
        <w:t>Detalhes do produto ou serviço</w:t>
      </w:r>
      <w:bookmarkEnd w:id="4"/>
    </w:p>
    <w:tbl>
      <w:tblPr>
        <w:tblW w:w="935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3822"/>
        <w:gridCol w:w="5528"/>
      </w:tblGrid>
      <w:tr>
        <w:trPr>
          <w:trHeight w:val="599" w:hRule="atLeast"/>
        </w:trPr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Arial" w:hAnsi="Arial" w:eastAsia="Arial" w:cs="Arial"/>
                <w:b/>
                <w:b/>
                <w:color w:val="000000" w:themeColor="text1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16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/>
              <w:t xml:space="preserve">Monitor Gamer </w:t>
            </w:r>
          </w:p>
        </w:tc>
      </w:tr>
      <w:tr>
        <w:trPr/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160"/>
              <w:rPr>
                <w:rFonts w:ascii="Arial" w:hAnsi="Arial" w:eastAsia="Arial" w:cs="Arial"/>
                <w:b/>
                <w:b/>
                <w:color w:val="000000" w:themeColor="text1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16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/>
              <w:t>SuperFrame</w:t>
            </w:r>
          </w:p>
        </w:tc>
      </w:tr>
      <w:tr>
        <w:trPr/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>
                <w:rFonts w:ascii="Arial" w:hAnsi="Arial" w:eastAsia="Arial" w:cs="Arial"/>
                <w:b/>
                <w:b/>
                <w:color w:val="000000" w:themeColor="text1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>
            <w:pPr>
              <w:pStyle w:val="Normal"/>
              <w:widowControl w:val="false"/>
              <w:spacing w:lineRule="auto" w:line="360" w:before="0" w:after="160"/>
              <w:rPr>
                <w:rFonts w:ascii="Arial" w:hAnsi="Arial" w:eastAsia="Arial" w:cs="Arial"/>
                <w:b/>
                <w:b/>
                <w:color w:val="000000" w:themeColor="text1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 w:themeColor="text1"/>
                <w:sz w:val="24"/>
                <w:szCs w:val="24"/>
              </w:rPr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Arial" w:hAnsi="Arial" w:eastAsia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eastAsia="Arial" w:cs="Arial" w:ascii="Arial" w:hAnsi="Arial"/>
                <w:bCs/>
                <w:color w:val="000000" w:themeColor="text1"/>
                <w:sz w:val="24"/>
                <w:szCs w:val="24"/>
              </w:rPr>
              <w:t>6 meses</w:t>
            </w:r>
          </w:p>
        </w:tc>
      </w:tr>
      <w:tr>
        <w:trPr/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160"/>
              <w:rPr>
                <w:rFonts w:ascii="Arial" w:hAnsi="Arial" w:eastAsia="Arial" w:cs="Arial"/>
                <w:b/>
                <w:b/>
                <w:color w:val="000000" w:themeColor="text1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Arial" w:hAnsi="Arial" w:eastAsia="Arial" w:cs="Arial"/>
                <w:b/>
                <w:b/>
                <w:color w:val="000000" w:themeColor="text1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 w:themeColor="text1"/>
                <w:sz w:val="24"/>
                <w:szCs w:val="24"/>
              </w:rPr>
              <w:t>Certificação de Conformidade Ambienta</w:t>
            </w:r>
            <w:r>
              <w:rPr>
                <w:rFonts w:eastAsia="Arial" w:cs="Arial" w:ascii="Arial" w:hAnsi="Arial"/>
                <w:b/>
                <w:color w:val="000000" w:themeColor="text1"/>
                <w:sz w:val="24"/>
                <w:szCs w:val="24"/>
              </w:rPr>
              <w:t>l</w:t>
            </w:r>
            <w:r>
              <w:rPr>
                <w:rFonts w:eastAsia="Arial" w:cs="Arial" w:ascii="Arial" w:hAnsi="Arial"/>
                <w:b/>
                <w:color w:val="000000" w:themeColor="text1"/>
                <w:sz w:val="24"/>
                <w:szCs w:val="24"/>
              </w:rPr>
              <w:t xml:space="preserve">, Compatibilidade com Montagem VESA </w:t>
            </w:r>
            <w:r>
              <w:rPr>
                <w:rFonts w:eastAsia="Arial" w:cs="Arial" w:ascii="Arial" w:hAnsi="Arial"/>
                <w:b/>
                <w:color w:val="000000" w:themeColor="text1"/>
                <w:sz w:val="24"/>
                <w:szCs w:val="24"/>
              </w:rPr>
              <w:t>e Sistema de Iluminação LED</w:t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cs="Arial" w:ascii="Arial" w:hAnsi="Arial"/>
          <w:color w:val="000000" w:themeColor="text1"/>
          <w:sz w:val="24"/>
          <w:szCs w:val="24"/>
        </w:rPr>
      </w:r>
      <w:r>
        <w:br w:type="page"/>
      </w:r>
    </w:p>
    <w:p>
      <w:pPr>
        <w:pStyle w:val="Ttulo2"/>
        <w:numPr>
          <w:ilvl w:val="1"/>
          <w:numId w:val="1"/>
        </w:numPr>
        <w:rPr/>
      </w:pPr>
      <w:bookmarkStart w:id="5" w:name="_Toc73287562"/>
      <w:r>
        <w:rPr/>
        <w:t>Tabela de Análise</w:t>
      </w:r>
      <w:bookmarkEnd w:id="5"/>
    </w:p>
    <w:tbl>
      <w:tblPr>
        <w:tblW w:w="949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1980"/>
        <w:gridCol w:w="3969"/>
        <w:gridCol w:w="3544"/>
      </w:tblGrid>
      <w:tr>
        <w:trPr>
          <w:trHeight w:val="560" w:hRule="atLeast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spacing w:lineRule="auto" w:line="360" w:before="0" w:after="160"/>
              <w:rPr>
                <w:rFonts w:ascii="Arial" w:hAnsi="Arial" w:eastAsia="Arial" w:cs="Arial"/>
                <w:b/>
                <w:b/>
                <w:color w:val="000000" w:themeColor="text1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Arial" w:hAnsi="Arial" w:eastAsia="Arial" w:cs="Arial"/>
                <w:b/>
                <w:b/>
                <w:color w:val="000000" w:themeColor="text1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 w:themeColor="text1"/>
                <w:sz w:val="24"/>
                <w:szCs w:val="24"/>
              </w:rPr>
              <w:t>Sua percepção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themeFill="background1" w:themeFillShade="d9" w:val="clear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Arial" w:hAnsi="Arial" w:eastAsia="Arial" w:cs="Arial"/>
                <w:b/>
                <w:b/>
                <w:color w:val="000000" w:themeColor="text1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 w:themeColor="text1"/>
                <w:sz w:val="24"/>
                <w:szCs w:val="24"/>
              </w:rPr>
              <w:t>Referência da evidência [caso tenha]</w:t>
            </w:r>
          </w:p>
        </w:tc>
      </w:tr>
      <w:tr>
        <w:trPr>
          <w:trHeight w:val="1357" w:hRule="atLeast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>
                <w:rFonts w:ascii="Arial" w:hAnsi="Arial" w:eastAsia="Arial" w:cs="Arial"/>
                <w:b/>
                <w:b/>
                <w:color w:val="000000" w:themeColor="text1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>
            <w:pPr>
              <w:pStyle w:val="Normal"/>
              <w:widowControl w:val="false"/>
              <w:spacing w:lineRule="auto" w:line="360" w:before="0" w:after="160"/>
              <w:rPr>
                <w:rFonts w:ascii="Arial" w:hAnsi="Arial" w:eastAsia="Arial" w:cs="Arial"/>
                <w:b/>
                <w:b/>
                <w:color w:val="000000" w:themeColor="text1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 w:themeColor="text1"/>
                <w:sz w:val="24"/>
                <w:szCs w:val="24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Arial" w:hAnsi="Arial" w:eastAsia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eastAsia="Arial" w:cs="Arial" w:ascii="Arial" w:hAnsi="Arial"/>
                <w:bCs/>
                <w:color w:val="000000" w:themeColor="text1"/>
                <w:sz w:val="24"/>
                <w:szCs w:val="24"/>
              </w:rPr>
              <w:t>O</w:t>
            </w:r>
            <w:r>
              <w:rPr>
                <w:rFonts w:eastAsia="Arial" w:cs="Arial" w:ascii="Arial" w:hAnsi="Arial"/>
                <w:bCs/>
                <w:color w:val="000000" w:themeColor="text1"/>
                <w:sz w:val="24"/>
                <w:szCs w:val="24"/>
              </w:rPr>
              <w:t>ferece uma experiência de uso fluida e intuitiva. Os botões de controle são de fácil acesso e oferecem feedback tátil preciso. A taxa de atualização de 180Hz e o tempo de resposta de 1ms garantem uma experiência de jogo sem latência perceptível.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color w:themeColor="text1"/>
                <w:highlight w:val="none"/>
                <w:shd w:fill="auto" w:val="clear"/>
              </w:rPr>
            </w:pPr>
            <w:r>
              <w:rPr>
                <w:rFonts w:eastAsia="Arial" w:cs="Arial" w:ascii="Arial" w:hAnsi="Arial"/>
                <w:bCs/>
                <w:color w:val="000000" w:themeColor="text1"/>
                <w:sz w:val="24"/>
                <w:szCs w:val="24"/>
                <w:shd w:fill="auto" w:val="clear"/>
              </w:rPr>
              <w:t>Imagem 1: Parte traseira do monitor.</w:t>
            </w:r>
          </w:p>
        </w:tc>
      </w:tr>
      <w:tr>
        <w:trPr>
          <w:trHeight w:val="1368" w:hRule="atLeast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160"/>
              <w:rPr>
                <w:rFonts w:ascii="Arial" w:hAnsi="Arial" w:eastAsia="Arial" w:cs="Arial"/>
                <w:b/>
                <w:b/>
                <w:color w:val="000000" w:themeColor="text1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 w:themeColor="text1"/>
                <w:sz w:val="24"/>
                <w:szCs w:val="24"/>
              </w:rPr>
              <w:t>Matéria prima: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Arial" w:hAnsi="Arial" w:eastAsia="Arial" w:cs="Arial"/>
                <w:b/>
                <w:b/>
                <w:color w:val="000000" w:themeColor="text1"/>
                <w:sz w:val="24"/>
                <w:szCs w:val="24"/>
              </w:rPr>
            </w:pPr>
            <w:r>
              <w:rPr>
                <w:rFonts w:eastAsia="Arial" w:cs="Arial" w:ascii="Arial" w:hAnsi="Arial"/>
                <w:bCs/>
                <w:color w:val="000000" w:themeColor="text1"/>
                <w:sz w:val="24"/>
                <w:szCs w:val="24"/>
              </w:rPr>
              <w:t>O monitor gamer SuperFrame Precision é construído com uma estrutura principal de plástico de alta densidade e metal resistente, proporcionando uma base sólida e durável. A tela utiliza um painel LCD com tecnologia VA, oferecendo cores vibrantes e alto contraste. Os materiais escolhidos refletem um compromisso com a qualidade e durabilidade.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Arial" w:hAnsi="Arial" w:eastAsia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eastAsia="Arial" w:cs="Arial" w:ascii="Arial" w:hAnsi="Arial"/>
                <w:bCs/>
                <w:color w:val="000000" w:themeColor="text1"/>
                <w:sz w:val="24"/>
                <w:szCs w:val="24"/>
              </w:rPr>
            </w:r>
          </w:p>
        </w:tc>
      </w:tr>
      <w:tr>
        <w:trPr>
          <w:trHeight w:val="2167" w:hRule="atLeast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160"/>
              <w:rPr>
                <w:rFonts w:ascii="Arial" w:hAnsi="Arial" w:eastAsia="Arial" w:cs="Arial"/>
                <w:b/>
                <w:b/>
                <w:color w:val="000000" w:themeColor="text1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Arial" w:hAnsi="Arial" w:eastAsia="Arial" w:cs="Arial"/>
                <w:b/>
                <w:b/>
                <w:color w:val="000000" w:themeColor="text1"/>
                <w:sz w:val="24"/>
                <w:szCs w:val="24"/>
              </w:rPr>
            </w:pPr>
            <w:r>
              <w:rPr>
                <w:rFonts w:eastAsia="Arial" w:cs="Arial" w:ascii="Arial" w:hAnsi="Arial"/>
                <w:bCs/>
                <w:color w:val="000000" w:themeColor="text1"/>
                <w:sz w:val="24"/>
                <w:szCs w:val="24"/>
              </w:rPr>
              <w:t>A taxa de atualização de 180Hz e o tempo de resposta de 1ms proporcionaram uma experiência de jogo excepcionalmente suave, sem qualquer sinal de ghosting ou tearing, mesmo em cenas de alta movimentação.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Arial" w:hAnsi="Arial" w:eastAsia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eastAsia="Arial" w:cs="Arial" w:ascii="Arial" w:hAnsi="Arial"/>
                <w:bCs/>
                <w:color w:val="000000" w:themeColor="text1"/>
                <w:sz w:val="24"/>
                <w:szCs w:val="24"/>
              </w:rPr>
            </w:r>
          </w:p>
        </w:tc>
      </w:tr>
      <w:tr>
        <w:trPr>
          <w:trHeight w:val="2178" w:hRule="atLeast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160"/>
              <w:rPr>
                <w:rFonts w:ascii="Arial" w:hAnsi="Arial" w:eastAsia="Arial" w:cs="Arial"/>
                <w:b/>
                <w:b/>
                <w:color w:val="000000" w:themeColor="text1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Arial" w:hAnsi="Arial" w:eastAsia="Arial" w:cs="Arial"/>
                <w:b/>
                <w:b/>
                <w:color w:val="000000" w:themeColor="text1"/>
                <w:sz w:val="24"/>
                <w:szCs w:val="24"/>
              </w:rPr>
            </w:pPr>
            <w:r>
              <w:rPr>
                <w:rFonts w:eastAsia="Arial" w:cs="Arial" w:ascii="Arial" w:hAnsi="Arial"/>
                <w:bCs/>
                <w:color w:val="000000" w:themeColor="text1"/>
                <w:sz w:val="24"/>
                <w:szCs w:val="24"/>
              </w:rPr>
              <w:t xml:space="preserve">O design curvo proporciona uma experiência envolvente, ampliando a imersão durante os jogos. As bordas finas e o suporte ajustável contribuem para uma estética moderna e ergonômica.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Arial" w:hAnsi="Arial" w:eastAsia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eastAsia="Arial" w:cs="Arial" w:ascii="Arial" w:hAnsi="Arial"/>
                <w:bCs/>
                <w:color w:val="000000" w:themeColor="text1"/>
                <w:sz w:val="24"/>
                <w:szCs w:val="24"/>
              </w:rPr>
              <w:t xml:space="preserve">Imagem </w:t>
            </w:r>
            <w:r>
              <w:rPr>
                <w:rFonts w:eastAsia="Arial" w:cs="Arial" w:ascii="Arial" w:hAnsi="Arial"/>
                <w:bCs/>
                <w:color w:val="000000" w:themeColor="text1"/>
                <w:sz w:val="24"/>
                <w:szCs w:val="24"/>
              </w:rPr>
              <w:t>2: Parte frontal do monitor.</w:t>
            </w:r>
            <w:r>
              <w:rPr>
                <w:rFonts w:eastAsia="Arial" w:cs="Arial" w:ascii="Arial" w:hAnsi="Arial"/>
                <w:bCs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>
        <w:trPr>
          <w:trHeight w:val="952" w:hRule="atLeast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160"/>
              <w:rPr>
                <w:rFonts w:ascii="Arial" w:hAnsi="Arial"/>
                <w:b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hAnsi="Arial"/>
                <w:b/>
                <w:bCs/>
                <w:sz w:val="24"/>
                <w:szCs w:val="24"/>
              </w:rPr>
              <w:t>F</w:t>
            </w:r>
            <w:r>
              <w:rPr>
                <w:rFonts w:ascii="Arial" w:hAnsi="Arial"/>
                <w:b/>
                <w:bCs/>
                <w:sz w:val="24"/>
                <w:szCs w:val="24"/>
              </w:rPr>
              <w:t>uncionalidades Adicionais: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Arial" w:hAnsi="Arial" w:eastAsia="Arial" w:cs="Arial"/>
                <w:b w:val="false"/>
                <w:b w:val="false"/>
                <w:bCs w:val="false"/>
                <w:color w:val="000000" w:themeColor="text1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000000" w:themeColor="text1"/>
                <w:sz w:val="24"/>
                <w:szCs w:val="24"/>
              </w:rPr>
              <w:t>O monitor SuperFrame Precision apresenta uma ampla gama de recursos adicionais, incluindo suporte a FreeSync para uma jogabilidade suave e sem tearing, e uma cobertura de 99% do espaço de cores sRGB, proporcionando reprodução de cores precisa para edição de vídeo e imagem.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Arial" w:hAnsi="Arial" w:eastAsia="Arial" w:cs="Arial"/>
                <w:b/>
                <w:b/>
                <w:color w:val="000000" w:themeColor="text1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 w:themeColor="text1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cs="Arial" w:ascii="Arial" w:hAnsi="Arial"/>
          <w:color w:val="000000" w:themeColor="text1"/>
          <w:sz w:val="24"/>
          <w:szCs w:val="24"/>
        </w:rPr>
      </w:r>
    </w:p>
    <w:p>
      <w:pPr>
        <w:pStyle w:val="Ttulo2"/>
        <w:numPr>
          <w:ilvl w:val="1"/>
          <w:numId w:val="1"/>
        </w:numPr>
        <w:rPr/>
      </w:pPr>
      <w:r>
        <w:rPr/>
        <w:t xml:space="preserve"> </w:t>
      </w:r>
      <w:bookmarkStart w:id="6" w:name="_Toc73287563"/>
      <w:r>
        <w:rPr/>
        <w:t>Relatório</w:t>
      </w:r>
      <w:bookmarkEnd w:id="6"/>
      <w:r>
        <w:rPr/>
        <w:t xml:space="preserve"> </w:t>
      </w:r>
    </w:p>
    <w:p>
      <w:pPr>
        <w:pStyle w:val="Normal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  <w:t>Ao longo dos últimos seis meses, o Monitor Gamer SuperFrame Precision demonstrou ser uma escolha acertada. O design ergonômico e as funcionalidades adicionais, como o sistema de iluminação LED e a certificação ambiental, agregam valor ao produto. A compatibilidade com montagem VESA oferece flexibilidade adicional na disposição do monitor. No geral, o Monitor Gamer SuperFrame Precision tem superado minhas expectativas e se mantido como uma peça central na minha configuração de entretenimento e trabalho.</w:t>
      </w:r>
    </w:p>
    <w:p>
      <w:pPr>
        <w:pStyle w:val="ListParagraph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  <w:r>
        <w:br w:type="page"/>
      </w:r>
    </w:p>
    <w:p>
      <w:pPr>
        <w:pStyle w:val="ListParagraph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</w:p>
    <w:p>
      <w:pPr>
        <w:pStyle w:val="Ttulo2"/>
        <w:numPr>
          <w:ilvl w:val="1"/>
          <w:numId w:val="1"/>
        </w:numPr>
        <w:rPr/>
      </w:pPr>
      <w:r>
        <w:rPr/>
        <w:t xml:space="preserve"> </w:t>
      </w:r>
      <w:bookmarkStart w:id="7" w:name="_Toc73287564"/>
      <w:r>
        <w:rPr/>
        <w:t>Evidências</w:t>
      </w:r>
      <w:bookmarkEnd w:id="7"/>
      <w:r>
        <w:rPr/>
        <w:t xml:space="preserve"> </w:t>
      </w:r>
    </w:p>
    <w:p>
      <w:pPr>
        <w:pStyle w:val="Normal"/>
        <w:spacing w:lineRule="auto" w:line="360"/>
        <w:jc w:val="both"/>
        <w:rPr>
          <w:rFonts w:ascii="Arial" w:hAnsi="Arial" w:cs="Arial"/>
          <w:color w:val="000000" w:themeColor="text1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194945</wp:posOffset>
            </wp:positionH>
            <wp:positionV relativeFrom="paragraph">
              <wp:posOffset>-111125</wp:posOffset>
            </wp:positionV>
            <wp:extent cx="3113405" cy="3113405"/>
            <wp:effectExtent l="0" t="0" r="0" b="0"/>
            <wp:wrapTopAndBottom/>
            <wp:docPr id="2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405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Arial" w:hAnsi="Arial"/>
          <w:color w:val="000000" w:themeColor="text1"/>
          <w:shd w:fill="FFFF00" w:val="clear"/>
        </w:rPr>
        <w:t xml:space="preserve">Imagem 1: </w:t>
      </w:r>
      <w:r>
        <w:rPr>
          <w:rFonts w:eastAsia="Arial" w:cs="Arial" w:ascii="Arial" w:hAnsi="Arial"/>
          <w:bCs/>
          <w:color w:val="000000" w:themeColor="text1"/>
          <w:sz w:val="24"/>
          <w:szCs w:val="24"/>
          <w:shd w:fill="FFFF00" w:val="clear"/>
        </w:rPr>
        <w:t>Parte traseira do monitor.</w:t>
      </w:r>
    </w:p>
    <w:p>
      <w:pPr>
        <w:pStyle w:val="Normal"/>
        <w:spacing w:lineRule="auto" w:line="360"/>
        <w:jc w:val="both"/>
        <w:rPr>
          <w:rFonts w:eastAsia="Arial"/>
          <w:bCs/>
          <w:sz w:val="24"/>
          <w:szCs w:val="24"/>
        </w:rPr>
      </w:pPr>
      <w:r>
        <w:rPr>
          <w:rFonts w:cs="Arial" w:ascii="Arial" w:hAnsi="Arial"/>
          <w:color w:val="000000" w:themeColor="text1"/>
          <w:shd w:fill="FFFF00" w:val="clear"/>
        </w:rPr>
      </w:r>
    </w:p>
    <w:p>
      <w:pPr>
        <w:pStyle w:val="Normal"/>
        <w:spacing w:lineRule="auto" w:line="360"/>
        <w:jc w:val="both"/>
        <w:rPr>
          <w:rFonts w:eastAsia="Arial"/>
          <w:bCs/>
          <w:sz w:val="24"/>
          <w:szCs w:val="24"/>
        </w:rPr>
      </w:pPr>
      <w:r>
        <w:rPr>
          <w:rFonts w:cs="Arial" w:ascii="Arial" w:hAnsi="Arial"/>
          <w:color w:val="000000" w:themeColor="text1"/>
          <w:shd w:fill="FFFF00" w:val="clear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-136525</wp:posOffset>
            </wp:positionH>
            <wp:positionV relativeFrom="paragraph">
              <wp:posOffset>-121920</wp:posOffset>
            </wp:positionV>
            <wp:extent cx="3350260" cy="3350260"/>
            <wp:effectExtent l="0" t="0" r="0" b="0"/>
            <wp:wrapTopAndBottom/>
            <wp:docPr id="3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26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Arial" w:hAnsi="Arial" w:cs="Arial"/>
          <w:color w:val="000000" w:themeColor="text1"/>
        </w:rPr>
      </w:pPr>
      <w:r>
        <w:rPr>
          <w:rFonts w:eastAsia="Arial" w:cs="Arial" w:ascii="Arial" w:hAnsi="Arial"/>
          <w:bCs/>
          <w:color w:val="000000" w:themeColor="text1"/>
          <w:sz w:val="24"/>
          <w:szCs w:val="24"/>
          <w:shd w:fill="FFFF00" w:val="clear"/>
        </w:rPr>
        <w:t>Imagem 2: Parte frontal do monitor.</w:t>
      </w:r>
    </w:p>
    <w:p>
      <w:pPr>
        <w:pStyle w:val="Normal"/>
        <w:spacing w:lineRule="auto" w:line="360"/>
        <w:jc w:val="both"/>
        <w:rPr>
          <w:rFonts w:eastAsia="Arial"/>
          <w:bCs/>
          <w:sz w:val="24"/>
          <w:szCs w:val="24"/>
          <w:highlight w:val="none"/>
          <w:shd w:fill="FFFF00" w:val="clear"/>
        </w:rPr>
      </w:pPr>
      <w:r>
        <w:rPr>
          <w:rFonts w:cs="Arial" w:ascii="Arial" w:hAnsi="Arial"/>
          <w:color w:val="000000" w:themeColor="text1"/>
        </w:rPr>
      </w:r>
    </w:p>
    <w:p>
      <w:pPr>
        <w:pStyle w:val="Ttulo2"/>
        <w:numPr>
          <w:ilvl w:val="1"/>
          <w:numId w:val="1"/>
        </w:numPr>
        <w:rPr/>
      </w:pPr>
      <w:bookmarkStart w:id="8" w:name="_Toc73287565"/>
      <w:r>
        <w:rPr/>
        <w:t>Onde encontrar</w:t>
      </w:r>
      <w:bookmarkEnd w:id="8"/>
    </w:p>
    <w:p>
      <w:pPr>
        <w:pStyle w:val="Normal"/>
        <w:spacing w:lineRule="auto" w:line="36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cs="Arial" w:ascii="Arial" w:hAnsi="Arial"/>
          <w:color w:val="000000" w:themeColor="text1"/>
          <w:sz w:val="24"/>
          <w:szCs w:val="24"/>
        </w:rPr>
        <w:t xml:space="preserve">O Monitor Gamer SuperFrame Precision (Modelo: SFP2415 FHD) pode ser encontrado </w:t>
      </w:r>
      <w:r>
        <w:rPr>
          <w:rFonts w:cs="Arial" w:ascii="Arial" w:hAnsi="Arial"/>
          <w:color w:val="000000" w:themeColor="text1"/>
          <w:sz w:val="24"/>
          <w:szCs w:val="24"/>
        </w:rPr>
        <w:t xml:space="preserve">com mais facilidade nas lojas </w:t>
      </w:r>
      <w:r>
        <w:rPr>
          <w:rFonts w:cs="Arial" w:ascii="Arial" w:hAnsi="Arial"/>
          <w:color w:val="000000" w:themeColor="text1"/>
          <w:sz w:val="24"/>
          <w:szCs w:val="24"/>
        </w:rPr>
        <w:t>online. Abaixo estão algumas opções: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cs="Arial" w:ascii="Arial" w:hAnsi="Arial"/>
          <w:color w:val="000000" w:themeColor="text1"/>
          <w:sz w:val="24"/>
          <w:szCs w:val="24"/>
        </w:rPr>
        <w:t xml:space="preserve">Loja Online SuperFrame: </w:t>
      </w:r>
    </w:p>
    <w:p>
      <w:pPr>
        <w:pStyle w:val="Normal"/>
        <w:numPr>
          <w:ilvl w:val="1"/>
          <w:numId w:val="2"/>
        </w:numPr>
        <w:spacing w:lineRule="auto" w:line="360"/>
        <w:jc w:val="both"/>
        <w:rPr/>
      </w:pPr>
      <w:hyperlink r:id="rId5">
        <w:r>
          <w:rPr>
            <w:rStyle w:val="LinkdaInternet"/>
            <w:rFonts w:cs="Arial" w:ascii="Arial" w:hAnsi="Arial"/>
            <w:color w:val="000000" w:themeColor="text1"/>
            <w:sz w:val="24"/>
            <w:szCs w:val="24"/>
          </w:rPr>
          <w:t>https://superframe.com.b</w:t>
        </w:r>
        <w:r>
          <w:rPr>
            <w:rStyle w:val="LinkdaInternet"/>
            <w:rFonts w:cs="Arial" w:ascii="Arial" w:hAnsi="Arial"/>
            <w:color w:val="000000" w:themeColor="text1"/>
            <w:sz w:val="24"/>
            <w:szCs w:val="24"/>
          </w:rPr>
          <w:t>r</w:t>
        </w:r>
      </w:hyperlink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cs="Arial" w:ascii="Arial" w:hAnsi="Arial"/>
          <w:color w:val="000000" w:themeColor="text1"/>
          <w:sz w:val="24"/>
          <w:szCs w:val="24"/>
        </w:rPr>
        <w:t>Principais Varejistas Eletrônicos:</w:t>
      </w:r>
    </w:p>
    <w:p>
      <w:pPr>
        <w:pStyle w:val="Normal"/>
        <w:numPr>
          <w:ilvl w:val="1"/>
          <w:numId w:val="2"/>
        </w:numPr>
        <w:spacing w:lineRule="auto" w:line="360"/>
        <w:jc w:val="both"/>
        <w:rPr/>
      </w:pPr>
      <w:hyperlink r:id="rId6">
        <w:r>
          <w:rPr>
            <w:rStyle w:val="LinkdaInternet"/>
            <w:rFonts w:cs="Arial" w:ascii="Arial" w:hAnsi="Arial"/>
            <w:color w:val="000000" w:themeColor="text1"/>
            <w:sz w:val="24"/>
            <w:szCs w:val="24"/>
          </w:rPr>
          <w:t>https://terabyteshop.com.br</w:t>
        </w:r>
      </w:hyperlink>
    </w:p>
    <w:p>
      <w:pPr>
        <w:pStyle w:val="Normal"/>
        <w:numPr>
          <w:ilvl w:val="1"/>
          <w:numId w:val="2"/>
        </w:numPr>
        <w:spacing w:lineRule="auto" w:line="360"/>
        <w:jc w:val="both"/>
        <w:rPr/>
      </w:pPr>
      <w:hyperlink r:id="rId7">
        <w:r>
          <w:rPr>
            <w:rStyle w:val="LinkdaInternet"/>
            <w:rFonts w:cs="Arial" w:ascii="Arial" w:hAnsi="Arial"/>
            <w:color w:val="000000" w:themeColor="text1"/>
            <w:sz w:val="24"/>
            <w:szCs w:val="24"/>
          </w:rPr>
          <w:t>https://amazon.com.br</w:t>
        </w:r>
      </w:hyperlink>
    </w:p>
    <w:p>
      <w:pPr>
        <w:pStyle w:val="Normal"/>
        <w:spacing w:lineRule="auto" w:line="360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</w:r>
    </w:p>
    <w:p>
      <w:pPr>
        <w:pStyle w:val="Ttulo1"/>
        <w:numPr>
          <w:ilvl w:val="0"/>
          <w:numId w:val="1"/>
        </w:numPr>
        <w:rPr/>
      </w:pPr>
      <w:bookmarkStart w:id="9" w:name="_Toc73287566"/>
      <w:r>
        <w:rPr/>
        <w:t>CONCLUSÃO</w:t>
      </w:r>
      <w:bookmarkEnd w:id="9"/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  <w:t>O monitor gamer SuperFrame Precision (Modelo: SFP2415 FHD) é um produto de alto padrão, demonstrando uma combinação eficaz de qualidade de construção, desempenho e funcionalidades. Seu design ergonômico e recursos avançados o tornam uma excelente escolha para entusiastas de jogos e profissionais que exigem precisão de cores. No entanto, a inclusão de alto-falantes integrados seria uma adição bem-vinda para uma experiência multimídia completa.</w:t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b/>
          <w:b/>
          <w:color w:val="000000" w:themeColor="text1"/>
          <w:sz w:val="24"/>
          <w:szCs w:val="24"/>
        </w:rPr>
      </w:pPr>
      <w:r>
        <w:rPr>
          <w:rFonts w:eastAsia="Arial" w:cs="Arial" w:ascii="Arial" w:hAnsi="Arial"/>
          <w:b/>
          <w:color w:val="000000" w:themeColor="text1"/>
          <w:sz w:val="24"/>
          <w:szCs w:val="24"/>
        </w:rPr>
      </w:r>
    </w:p>
    <w:p>
      <w:pPr>
        <w:pStyle w:val="Ttulo1"/>
        <w:numPr>
          <w:ilvl w:val="0"/>
          <w:numId w:val="1"/>
        </w:numPr>
        <w:rPr/>
      </w:pPr>
      <w:bookmarkStart w:id="10" w:name="_Toc73287567"/>
      <w:r>
        <w:rPr/>
        <w:t>REFERÊNCIAS BIBLIOGRÁFICAS</w:t>
      </w:r>
      <w:bookmarkEnd w:id="10"/>
      <w:r>
        <w:rPr/>
        <w:t xml:space="preserve"> </w:t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eastAsia="Arial" w:cs="Arial" w:ascii="Arial" w:hAnsi="Arial"/>
          <w:color w:val="000000" w:themeColor="text1"/>
          <w:sz w:val="24"/>
          <w:szCs w:val="24"/>
        </w:rPr>
        <w:t xml:space="preserve">Terabyte shop: </w:t>
      </w:r>
      <w:hyperlink r:id="rId9">
        <w:r>
          <w:rPr>
            <w:rStyle w:val="LinkdaInternet"/>
            <w:rFonts w:eastAsia="Arial" w:cs="Arial" w:ascii="Arial" w:hAnsi="Arial"/>
            <w:color w:val="000000" w:themeColor="text1"/>
            <w:sz w:val="24"/>
            <w:szCs w:val="24"/>
          </w:rPr>
          <w:t>https://www.terabyteshop.com.br/produto/21867/monitor-gamer-superframe-precision-236-pol-curvo-full-hd-1ms-144hz-freesync-hdmidp-sfp2415-fhd?gclid=Cj0KCQjwvL-oBhCxARIsAHkOiu1tcjZc5VJMcKJcEAJ5pe5Xn3wDDjQb2ohB4lFX4xqL0uM16sijQ28aAuc6EALw_wcB</w:t>
        </w:r>
      </w:hyperlink>
    </w:p>
    <w:p>
      <w:pPr>
        <w:pStyle w:val="Normal"/>
        <w:spacing w:lineRule="auto" w:line="360" w:before="0" w:after="160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Arial">
    <w:charset w:val="00"/>
    <w:family w:val="roman"/>
    <w:pitch w:val="variable"/>
  </w:font>
  <w:font w:name="Calibri Light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52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88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60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96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68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040" w:hanging="180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5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ilvl w:val="0"/>
        <w:numId w:val="1"/>
      </w:numPr>
      <w:spacing w:lineRule="auto" w:line="360"/>
      <w:jc w:val="both"/>
      <w:outlineLvl w:val="0"/>
    </w:pPr>
    <w:rPr>
      <w:rFonts w:ascii="Arial" w:hAnsi="Arial" w:eastAsia="Arial" w:cs="Arial"/>
      <w:b/>
      <w:color w:val="000000" w:themeColor="text1"/>
      <w:sz w:val="24"/>
      <w:szCs w:val="24"/>
    </w:rPr>
  </w:style>
  <w:style w:type="paragraph" w:styleId="Ttulo2">
    <w:name w:val="Heading 2"/>
    <w:basedOn w:val="ListParagraph"/>
    <w:next w:val="Normal"/>
    <w:link w:val="Ttulo2Char"/>
    <w:uiPriority w:val="9"/>
    <w:unhideWhenUsed/>
    <w:qFormat/>
    <w:rsid w:val="00e209a6"/>
    <w:pPr>
      <w:numPr>
        <w:ilvl w:val="1"/>
        <w:numId w:val="1"/>
      </w:numPr>
      <w:spacing w:lineRule="auto" w:line="360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kdaInternet">
    <w:name w:val="Hyperlink"/>
    <w:basedOn w:val="DefaultParagraphFont"/>
    <w:uiPriority w:val="99"/>
    <w:unhideWhenUsed/>
    <w:rsid w:val="008511aa"/>
    <w:rPr>
      <w:color w:val="0563C1" w:themeColor="hyperlink"/>
      <w:u w:val="single"/>
    </w:rPr>
  </w:style>
  <w:style w:type="character" w:styleId="TtuloChar" w:customStyle="1">
    <w:name w:val="Título Char"/>
    <w:basedOn w:val="DefaultParagraphFont"/>
    <w:uiPriority w:val="10"/>
    <w:qFormat/>
    <w:rsid w:val="0005157a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05157a"/>
    <w:rPr>
      <w:rFonts w:eastAsia="" w:eastAsiaTheme="minorEastAsia"/>
      <w:color w:val="5A5A5A" w:themeColor="text1" w:themeTint="a5"/>
      <w:spacing w:val="15"/>
    </w:rPr>
  </w:style>
  <w:style w:type="character" w:styleId="Ttulo1Char" w:customStyle="1">
    <w:name w:val="Título 1 Char"/>
    <w:basedOn w:val="DefaultParagraphFont"/>
    <w:uiPriority w:val="9"/>
    <w:qFormat/>
    <w:rsid w:val="006b1007"/>
    <w:rPr>
      <w:rFonts w:ascii="Arial" w:hAnsi="Arial" w:eastAsia="Arial" w:cs="Arial"/>
      <w:b/>
      <w:color w:val="000000" w:themeColor="text1"/>
      <w:sz w:val="24"/>
      <w:szCs w:val="24"/>
    </w:rPr>
  </w:style>
  <w:style w:type="character" w:styleId="Ttulo2Char" w:customStyle="1">
    <w:name w:val="Título 2 Char"/>
    <w:basedOn w:val="DefaultParagraphFont"/>
    <w:uiPriority w:val="9"/>
    <w:qFormat/>
    <w:rsid w:val="00e209a6"/>
    <w:rPr>
      <w:rFonts w:ascii="Arial" w:hAnsi="Arial" w:cs="Arial"/>
      <w:b/>
      <w:color w:val="000000" w:themeColor="text1"/>
      <w:sz w:val="24"/>
      <w:szCs w:val="24"/>
    </w:rPr>
  </w:style>
  <w:style w:type="character" w:styleId="Vnculodendice">
    <w:name w:val="Vínculo de índice"/>
    <w:qFormat/>
    <w:rPr/>
  </w:style>
  <w:style w:type="character" w:styleId="Nfaseforte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872a27"/>
    <w:pPr>
      <w:spacing w:before="0" w:after="160"/>
      <w:ind w:left="720" w:hanging="0"/>
      <w:contextualSpacing/>
    </w:pPr>
    <w:rPr/>
  </w:style>
  <w:style w:type="paragraph" w:styleId="Ttulododocumento">
    <w:name w:val="Title"/>
    <w:basedOn w:val="Normal"/>
    <w:next w:val="Normal"/>
    <w:link w:val="TtuloChar"/>
    <w:uiPriority w:val="10"/>
    <w:qFormat/>
    <w:rsid w:val="0005157a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/>
    <w:rPr>
      <w:rFonts w:eastAsia="" w:eastAsiaTheme="minorEastAsia"/>
      <w:color w:val="5A5A5A" w:themeColor="text1" w:themeTint="a5"/>
      <w:spacing w:val="15"/>
    </w:rPr>
  </w:style>
  <w:style w:type="paragraph" w:styleId="Ttulodondicealfabtico">
    <w:name w:val="Index Heading"/>
    <w:basedOn w:val="Ttulo"/>
    <w:pPr/>
    <w:rPr/>
  </w:style>
  <w:style w:type="paragraph" w:styleId="Ttulodosumrio">
    <w:name w:val="TOC Heading"/>
    <w:basedOn w:val="Ttulo1"/>
    <w:next w:val="Normal"/>
    <w:uiPriority w:val="39"/>
    <w:unhideWhenUsed/>
    <w:qFormat/>
    <w:rsid w:val="000a411c"/>
    <w:pPr>
      <w:keepNext w:val="true"/>
      <w:keepLines/>
      <w:numPr>
        <w:ilvl w:val="0"/>
        <w:numId w:val="0"/>
      </w:numPr>
      <w:spacing w:lineRule="auto" w:line="276" w:before="480" w:after="0"/>
      <w:jc w:val="left"/>
      <w:outlineLvl w:val="9"/>
    </w:pPr>
    <w:rPr>
      <w:rFonts w:ascii="Calibri Light" w:hAnsi="Calibri Light" w:eastAsia="" w:cs="" w:asciiTheme="majorHAnsi" w:cstheme="majorBidi" w:eastAsiaTheme="majorEastAsia" w:hAnsiTheme="majorHAns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 w:hanging="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before="0" w:after="0"/>
      <w:ind w:left="440" w:hanging="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before="0" w:after="0"/>
      <w:ind w:left="660" w:hanging="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before="0" w:after="0"/>
      <w:ind w:left="880" w:hanging="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before="0" w:after="0"/>
      <w:ind w:left="1100" w:hanging="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before="0" w:after="0"/>
      <w:ind w:left="1320" w:hanging="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before="0" w:after="0"/>
      <w:ind w:left="1540" w:hanging="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before="0" w:after="0"/>
      <w:ind w:left="1760" w:hanging="0"/>
    </w:pPr>
    <w:rPr>
      <w:sz w:val="20"/>
      <w:szCs w:val="20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hyperlink" Target="https://superframe.com.br/" TargetMode="External"/><Relationship Id="rId6" Type="http://schemas.openxmlformats.org/officeDocument/2006/relationships/hyperlink" Target="https://terabyteshop.com.br/" TargetMode="External"/><Relationship Id="rId7" Type="http://schemas.openxmlformats.org/officeDocument/2006/relationships/hyperlink" Target="https://amazon.com.br/" TargetMode="External"/><Relationship Id="rId8" Type="http://schemas.openxmlformats.org/officeDocument/2006/relationships/hyperlink" Target="https://www.terabyteshop.com.br/produto/21867/monitor-gamer-superframe-precision-236-pol-curvo-full-hd-1ms-144hz-freesync-hdmidp-sfp2415-fhd?gclid=Cj0KCQjwvL-oBhCxARIsAHkOiu1tcjZc5VJMcKJcEAJ5pe5Xn3wDDjQb2ohB4lFX4xqL0uM16sijQ28aAuc6EALw_wcB" TargetMode="External"/><Relationship Id="rId9" Type="http://schemas.openxmlformats.org/officeDocument/2006/relationships/hyperlink" Target="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Application>LibreOffice/7.4.7.2$Windows_X86_64 LibreOffice_project/723314e595e8007d3cf785c16538505a1c878ca5</Application>
  <AppVersion>15.0000</AppVersion>
  <Pages>9</Pages>
  <Words>954</Words>
  <Characters>5801</Characters>
  <CharactersWithSpaces>6688</CharactersWithSpaces>
  <Paragraphs>67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2021-05-30T20:28:00Z</dcterms:created>
  <dc:creator>logonucd</dc:creator>
  <dc:description/>
  <dc:language>pt-BR</dc:language>
  <cp:lastModifiedBy/>
  <cp:lastPrinted>2020-11-09T21:26:00Z</cp:lastPrinted>
  <dcterms:modified xsi:type="dcterms:W3CDTF">2023-09-24T13:05:04Z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