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351676F">
      <w:pPr>
        <w:spacing w:after="373"/>
        <w:jc w:val="center"/>
      </w:pPr>
      <w:r>
        <w:rPr>
          <w:rFonts w:ascii="Arial" w:hAnsi="Arial" w:cs="Arial"/>
          <w:b/>
          <w:bCs/>
          <w:color w:val="143A2E"/>
          <w:spacing w:val="0"/>
          <w:sz w:val="77"/>
          <w:szCs w:val="77"/>
        </w:rPr>
        <w:t>Desenvolvimento do Backend</w:t>
      </w:r>
    </w:p>
    <w:p w14:paraId="688FD558">
      <w:pPr>
        <w:spacing w:after="213"/>
        <w:jc w:val="center"/>
      </w:pPr>
      <w:r>
        <w:rPr>
          <w:rFonts w:ascii="Arial" w:hAnsi="Arial" w:cs="Arial"/>
          <w:color w:val="38534B"/>
          <w:spacing w:val="0"/>
          <w:sz w:val="45"/>
          <w:szCs w:val="45"/>
        </w:rPr>
        <w:t>Arquitetura, etapas de implementação, dificuldades e evolução metodológica</w:t>
      </w:r>
    </w:p>
    <w:p w14:paraId="5E06CC42">
      <w:pPr>
        <w:spacing w:after="213"/>
        <w:jc w:val="center"/>
      </w:pPr>
    </w:p>
    <w:p w14:paraId="08C6183C">
      <w:pPr>
        <w:spacing w:after="213"/>
        <w:jc w:val="center"/>
      </w:pPr>
      <w:r>
        <w:rPr>
          <w:rFonts w:ascii="Arial" w:hAnsi="Arial" w:cs="Arial"/>
          <w:b/>
          <w:bCs/>
          <w:color w:val="3B4350"/>
          <w:spacing w:val="0"/>
          <w:sz w:val="29"/>
          <w:szCs w:val="29"/>
        </w:rPr>
        <w:t>Projeto de residência — evidências científicas em saúde</w:t>
      </w:r>
      <w:r>
        <w:rPr>
          <w:rFonts w:ascii="Arial" w:hAnsi="Arial" w:cs="Arial"/>
          <w:color w:val="3B4350"/>
          <w:spacing w:val="0"/>
          <w:sz w:val="29"/>
        </w:rPr>
      </w:r>
    </w:p>
    <w:p w14:paraId="50B39181">
      <w:pPr>
        <w:spacing w:after="213"/>
        <w:jc w:val="center"/>
      </w:pPr>
      <w:r>
        <w:rPr>
          <w:rFonts w:ascii="Arial" w:hAnsi="Arial" w:cs="Arial"/>
          <w:color w:val="3B4350"/>
          <w:spacing w:val="0"/>
          <w:sz w:val="29"/>
          <w:szCs w:val="29"/>
        </w:rPr>
        <w:t>Escopo atual: MVP PubMed/PMC orientado a evidências</w:t>
      </w:r>
    </w:p>
    <w:p w14:paraId="4C6D58C9">
      <w:pPr>
        <w:spacing w:after="213"/>
        <w:jc w:val="center"/>
      </w:pPr>
      <w:r>
        <w:rPr>
          <w:rFonts w:ascii="Arial" w:hAnsi="Arial" w:cs="Arial"/>
          <w:color w:val="3B4350"/>
          <w:spacing w:val="0"/>
          <w:sz w:val="29"/>
          <w:szCs w:val="29"/>
        </w:rPr>
        <w:t xml:space="preserve">Branch analisada: </w:t>
      </w:r>
      <w:r>
        <w:rPr>
          <w:rFonts w:ascii="Menlo" w:hAnsi="Menlo" w:cs="Menlo"/>
          <w:color w:val="3B4350"/>
          <w:spacing w:val="0"/>
          <w:sz w:val="24"/>
          <w:szCs w:val="24"/>
        </w:rPr>
        <w:t>refactor/pubmed-only-mvp</w:t>
      </w:r>
      <w:r>
        <w:rPr>
          <w:rFonts w:ascii="Arial" w:hAnsi="Arial" w:cs="Arial"/>
          <w:color w:val="3B4350"/>
          <w:spacing w:val="0"/>
          <w:sz w:val="29"/>
        </w:rPr>
      </w:r>
    </w:p>
    <w:p w14:paraId="1D97612C">
      <w:pPr>
        <w:spacing w:after="213"/>
        <w:jc w:val="center"/>
      </w:pPr>
      <w:r>
        <w:rPr>
          <w:rFonts w:ascii="Arial" w:hAnsi="Arial" w:cs="Arial"/>
          <w:color w:val="3B4350"/>
          <w:spacing w:val="0"/>
          <w:sz w:val="29"/>
          <w:szCs w:val="29"/>
        </w:rPr>
        <w:t>7 de outubro de 2026</w:t>
      </w:r>
    </w:p>
    <w:p w14:paraId="304EEA02">
      <w:pPr>
        <w:spacing w:after="373"/>
      </w:pPr>
      <w:r>
        <w:rPr>
          <w:rFonts w:ascii="Arial" w:hAnsi="Arial" w:cs="Arial"/>
          <w:b/>
          <w:bCs/>
          <w:color w:val="133128"/>
          <w:spacing w:val="0"/>
          <w:sz w:val="58"/>
          <w:szCs w:val="58"/>
        </w:rPr>
        <w:t>Sumário executivo</w:t>
      </w:r>
    </w:p>
    <w:p w14:paraId="1D2C451C">
      <w:pPr>
        <w:spacing w:after="213"/>
        <w:jc w:val="both"/>
      </w:pPr>
      <w:r>
        <w:rPr>
          <w:rFonts w:ascii="Arial" w:hAnsi="Arial" w:cs="Arial"/>
          <w:color w:val="181F26"/>
          <w:spacing w:val="0"/>
          <w:sz w:val="29"/>
          <w:szCs w:val="29"/>
        </w:rPr>
        <w:t xml:space="preserve">O backend do projeto </w:t>
      </w:r>
      <w:r>
        <w:rPr>
          <w:rFonts w:ascii="Arial" w:hAnsi="Arial" w:cs="Arial"/>
          <w:b/>
          <w:bCs/>
          <w:color w:val="181F26"/>
          <w:spacing w:val="0"/>
          <w:sz w:val="29"/>
          <w:szCs w:val="29"/>
        </w:rPr>
        <w:t>Artfact</w:t>
      </w:r>
      <w:r>
        <w:rPr>
          <w:rFonts w:ascii="Arial" w:hAnsi="Arial" w:cs="Arial"/>
          <w:color w:val="181F26"/>
          <w:spacing w:val="0"/>
          <w:sz w:val="29"/>
          <w:szCs w:val="29"/>
        </w:rPr>
        <w:t xml:space="preserve"> foi desenvolvido para transformar uma alegação de saúde ou um artigo científico em uma análise rastreável de evidências. O objetivo técnico não é declarar automaticamente que uma afirmação é “verdadeira” ou “falsa”, mas recuperar literatura científica, localizar trechos verificáveis, comparar esses trechos com a alegação, registrar limitações e apresentar uma síntese explicável.</w:t>
      </w:r>
    </w:p>
    <w:p w14:paraId="6D2719D6">
      <w:pPr>
        <w:spacing w:after="213"/>
        <w:jc w:val="both"/>
      </w:pPr>
      <w:r>
        <w:rPr>
          <w:rFonts w:ascii="Arial" w:hAnsi="Arial" w:cs="Arial"/>
          <w:color w:val="181F26"/>
          <w:spacing w:val="0"/>
          <w:sz w:val="29"/>
          <w:szCs w:val="29"/>
        </w:rPr>
        <w:t xml:space="preserve">O desenvolvimento começou como uma prova de conceito centrada em notebooks python e evoluiu para um conjunto modular de serviços Python, uma API HTTP assíncrona em Flask, persistência em SQLite, ingestão de artigos e documentos, integração com PubMed/PMC e Gemini, mecanismos de recuperação e reranking, síntese metodológica e observabilidade. A implementação atual contém </w:t>
      </w:r>
      <w:r>
        <w:rPr>
          <w:rFonts w:ascii="Arial" w:hAnsi="Arial" w:cs="Arial"/>
          <w:b/>
          <w:bCs/>
          <w:color w:val="181F26"/>
          <w:spacing w:val="0"/>
          <w:sz w:val="29"/>
          <w:szCs w:val="29"/>
        </w:rPr>
        <w:t>254 testes automatizados</w:t>
      </w:r>
      <w:r>
        <w:rPr>
          <w:rFonts w:ascii="Arial" w:hAnsi="Arial" w:cs="Arial"/>
          <w:color w:val="181F26"/>
          <w:spacing w:val="0"/>
          <w:sz w:val="29"/>
          <w:szCs w:val="29"/>
        </w:rPr>
        <w:t xml:space="preserve"> aprovados e foi validada também por uma execução real completa do pipeline.</w:t>
      </w:r>
    </w:p>
    <w:p w14:paraId="61E5B0DE">
      <w:r>
        <w:rPr>
          <w:rFonts w:ascii="Arial" w:hAnsi="Arial" w:cs="Arial"/>
          <w:b/>
          <w:bCs/>
          <w:color w:val="181F26"/>
          <w:spacing w:val="0"/>
          <w:sz w:val="29"/>
          <w:szCs w:val="29"/>
        </w:rPr>
        <w:t>Decisão metodológica central.</w:t>
      </w:r>
      <w:r>
        <w:rPr>
          <w:rFonts w:ascii="Arial" w:hAnsi="Arial" w:cs="Arial"/>
          <w:color w:val="181F26"/>
          <w:spacing w:val="0"/>
          <w:sz w:val="29"/>
          <w:szCs w:val="29"/>
        </w:rPr>
        <w:t xml:space="preserve"> </w:t>
      </w:r>
    </w:p>
    <w:p w14:paraId="524A2541">
      <w:r>
        <w:rPr>
          <w:rFonts w:ascii="Arial" w:hAnsi="Arial" w:cs="Arial"/>
          <w:color w:val="181F26"/>
          <w:spacing w:val="0"/>
          <w:sz w:val="29"/>
          <w:szCs w:val="29"/>
        </w:rPr>
        <w:t xml:space="preserve">O sistema trata a tarefa com: </w:t>
      </w:r>
    </w:p>
    <w:p w14:paraId="607366B3">
      <w:r>
        <w:rPr>
          <w:rFonts w:ascii="Arial" w:hAnsi="Arial" w:cs="Arial"/>
          <w:color w:val="181F26"/>
          <w:spacing w:val="0"/>
          <w:sz w:val="29"/>
          <w:szCs w:val="29"/>
        </w:rPr>
        <w:t xml:space="preserve">(1) cobertura da busca; (2) compatibilidade dos trechos com a alegação; e (3) triagem metodológica. </w:t>
      </w:r>
    </w:p>
    <w:p w14:paraId="2580302A"/>
    <w:p w14:paraId="604E04C9">
      <w:r>
        <w:rPr>
          <w:rFonts w:ascii="Arial" w:hAnsi="Arial" w:cs="Arial"/>
          <w:color w:val="181F26"/>
          <w:spacing w:val="0"/>
          <w:sz w:val="29"/>
          <w:szCs w:val="29"/>
        </w:rPr>
        <w:t>Essa mudança reduz a falsa precisão e permite abstenção quando o material recuperado é insuficiente.</w:t>
      </w:r>
    </w:p>
    <w:p w14:paraId="139F6C95"/>
    <w:p w14:paraId="4965CCD8">
      <w:pPr>
        <w:spacing w:after="213"/>
      </w:pPr>
    </w:p>
    <w:p w14:paraId="3409F0F2">
      <w:pPr>
        <w:spacing w:after="213"/>
      </w:pPr>
      <w:r>
        <w:rPr>
          <w:rFonts w:ascii="Arial" w:hAnsi="Arial" w:cs="Arial"/>
          <w:b/>
          <w:bCs/>
          <w:color w:val="1A4A3A"/>
          <w:spacing w:val="0"/>
          <w:sz w:val="42"/>
          <w:szCs w:val="42"/>
        </w:rPr>
        <w:t>1. Objetivo, escopo e critérios de avaliação</w:t>
      </w:r>
    </w:p>
    <w:p w14:paraId="5ACD5125">
      <w:pPr>
        <w:spacing w:after="160"/>
      </w:pPr>
      <w:r>
        <w:rPr>
          <w:rFonts w:ascii="Arial" w:hAnsi="Arial" w:cs="Arial"/>
          <w:b/>
          <w:bCs/>
          <w:color w:val="1C3F35"/>
          <w:spacing w:val="0"/>
          <w:sz w:val="34"/>
          <w:szCs w:val="34"/>
        </w:rPr>
        <w:t>1.1 Objetivo do backend</w:t>
      </w:r>
    </w:p>
    <w:p w14:paraId="22EE36C7">
      <w:pPr>
        <w:spacing w:after="213"/>
        <w:jc w:val="both"/>
      </w:pPr>
      <w:r>
        <w:rPr>
          <w:rFonts w:ascii="Arial" w:hAnsi="Arial" w:cs="Arial"/>
          <w:color w:val="181F26"/>
          <w:spacing w:val="0"/>
          <w:sz w:val="29"/>
          <w:szCs w:val="29"/>
        </w:rPr>
        <w:t>O backend recebe uma alegação textual, um PMID/DOI/link do PubMed ou um arquivo PDF/imagem. A partir dessa entrada, ele valida e normaliza os dados, recupera o conteúdo científico disponível, extrai alegações, planeja consultas, encontra artigos independentes, seleciona trechos relevantes, classifica sua relação com a alegação e produz um resultado estruturado.</w:t>
      </w:r>
    </w:p>
    <w:p w14:paraId="65A4DFC4">
      <w:pPr>
        <w:spacing w:after="213"/>
      </w:pPr>
    </w:p>
    <w:p w14:paraId="5AEDEFF4">
      <w:pPr>
        <w:spacing w:after="160"/>
      </w:pPr>
      <w:r>
        <w:rPr>
          <w:rFonts w:ascii="Arial" w:hAnsi="Arial" w:cs="Arial"/>
          <w:b/>
          <w:bCs/>
          <w:color w:val="1C3F35"/>
          <w:spacing w:val="0"/>
          <w:sz w:val="34"/>
          <w:szCs w:val="34"/>
        </w:rPr>
        <w:t>1.2 Escopo atual</w:t>
      </w:r>
    </w:p>
    <w:p w14:paraId="4BDE265A">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Descoberta bibliográfica e metadados: PubMed.</w:t>
      </w:r>
    </w:p>
    <w:p w14:paraId="6E90C954">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Texto integral automatizado: PubMed Central (PMC), quando disponível.</w:t>
      </w:r>
    </w:p>
    <w:p w14:paraId="5026D8E2">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Fallback declarado: abstract do PubMed.</w:t>
      </w:r>
    </w:p>
    <w:p w14:paraId="56E0124A">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Entrada documental: PDF, PNG, JPEG e WebP.</w:t>
      </w:r>
    </w:p>
    <w:p w14:paraId="37873583">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Modelo generativo: Gemini para estruturação, classificação textual e síntese.</w:t>
      </w:r>
    </w:p>
    <w:p w14:paraId="0C527B3E">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Persistência: SQLite com journal em modo WAL.</w:t>
      </w:r>
    </w:p>
    <w:p w14:paraId="1A2878A7">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 xml:space="preserve">API e interface: Flask, com processamento assíncrono em </w:t>
      </w:r>
      <w:r>
        <w:rPr>
          <w:rFonts w:ascii="Menlo" w:hAnsi="Menlo" w:cs="Menlo"/>
          <w:color w:val="181F26"/>
          <w:spacing w:val="0"/>
          <w:sz w:val="24"/>
          <w:szCs w:val="24"/>
        </w:rPr>
        <w:t>ThreadPoolExecutor</w:t>
      </w:r>
      <w:r>
        <w:rPr>
          <w:rFonts w:ascii="Arial" w:hAnsi="Arial" w:cs="Arial"/>
          <w:color w:val="181F26"/>
          <w:spacing w:val="0"/>
          <w:sz w:val="29"/>
          <w:szCs w:val="29"/>
        </w:rPr>
        <w:t>.</w:t>
      </w:r>
    </w:p>
    <w:p w14:paraId="2E66BEBD">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Implantação prevista: Docker e Gunicorn; observabilidade opcional com Grafana, Loki e Alloy.</w:t>
      </w:r>
    </w:p>
    <w:p w14:paraId="70970147">
      <w:pPr>
        <w:spacing w:after="106"/>
      </w:pPr>
    </w:p>
    <w:p w14:paraId="1C71A197">
      <w:pPr>
        <w:spacing w:after="160"/>
      </w:pPr>
    </w:p>
    <w:p w14:paraId="2C7BCBCC">
      <w:pPr>
        <w:spacing w:after="160"/>
      </w:pPr>
    </w:p>
    <w:p w14:paraId="1E064165">
      <w:r>
        <w:rPr>
          <w:rFonts w:ascii="Arial" w:hAnsi="Arial" w:cs="Arial"/>
          <w:color w:val="181F26"/>
          <w:spacing w:val="0"/>
          <w:sz w:val="29"/>
        </w:rPr>
      </w:r>
    </w:p>
    <w:p w14:paraId="5DB37C84"/>
    <w:p w14:paraId="4FC4732B">
      <w:pPr>
        <w:spacing w:after="213"/>
      </w:pPr>
      <w:r>
        <w:rPr>
          <w:rFonts w:ascii="Arial" w:hAnsi="Arial" w:cs="Arial"/>
          <w:b/>
          <w:bCs/>
          <w:color w:val="1A4A3A"/>
          <w:spacing w:val="0"/>
          <w:sz w:val="42"/>
          <w:szCs w:val="42"/>
        </w:rPr>
        <w:t>2. Arquitetura atual do backend</w:t>
      </w:r>
    </w:p>
    <w:p w14:paraId="5EB451A2">
      <w:r>
        <w:rPr>
          <w:rFonts w:ascii="Menlo" w:hAnsi="Menlo" w:cs="Menlo"/>
          <w:color w:val="181F26"/>
          <w:spacing w:val="0"/>
          <w:sz w:val="25"/>
          <w:szCs w:val="25"/>
        </w:rPr>
        <w:t>Entrada do usuário</w:t>
      </w:r>
    </w:p>
    <w:p w14:paraId="3D2CCDD3">
      <w:r>
        <w:rPr>
          <w:rFonts w:ascii="Menlo" w:hAnsi="Menlo" w:cs="Menlo"/>
          <w:color w:val="181F26"/>
          <w:spacing w:val="0"/>
          <w:sz w:val="25"/>
          <w:szCs w:val="25"/>
        </w:rPr>
        <w:t xml:space="preserve">      ↓</w:t>
      </w:r>
    </w:p>
    <w:p w14:paraId="0F53BEE1">
      <w:r>
        <w:rPr>
          <w:rFonts w:ascii="Menlo" w:hAnsi="Menlo" w:cs="Menlo"/>
          <w:color w:val="181F26"/>
          <w:spacing w:val="0"/>
          <w:sz w:val="25"/>
          <w:szCs w:val="25"/>
        </w:rPr>
        <w:t>Validação e normalização</w:t>
      </w:r>
    </w:p>
    <w:p w14:paraId="3BF6F966">
      <w:r>
        <w:rPr>
          <w:rFonts w:ascii="Menlo" w:hAnsi="Menlo" w:cs="Menlo"/>
          <w:color w:val="181F26"/>
          <w:spacing w:val="0"/>
          <w:sz w:val="25"/>
          <w:szCs w:val="25"/>
        </w:rPr>
        <w:t xml:space="preserve">      ↓</w:t>
      </w:r>
    </w:p>
    <w:p w14:paraId="43B66BFB">
      <w:r>
        <w:rPr>
          <w:rFonts w:ascii="Menlo" w:hAnsi="Menlo" w:cs="Menlo"/>
          <w:color w:val="181F26"/>
          <w:spacing w:val="0"/>
          <w:sz w:val="25"/>
          <w:szCs w:val="25"/>
        </w:rPr>
        <w:t>Job assíncrono persistido em SQLite</w:t>
      </w:r>
    </w:p>
    <w:p w14:paraId="5C781A19">
      <w:r>
        <w:rPr>
          <w:rFonts w:ascii="Menlo" w:hAnsi="Menlo" w:cs="Menlo"/>
          <w:color w:val="181F26"/>
          <w:spacing w:val="0"/>
          <w:sz w:val="25"/>
          <w:szCs w:val="25"/>
        </w:rPr>
        <w:t xml:space="preserve">      ↓</w:t>
      </w:r>
    </w:p>
    <w:p w14:paraId="11FD3B61">
      <w:r>
        <w:rPr>
          <w:rFonts w:ascii="Menlo" w:hAnsi="Menlo" w:cs="Menlo"/>
          <w:color w:val="181F26"/>
          <w:spacing w:val="0"/>
          <w:sz w:val="25"/>
          <w:szCs w:val="25"/>
        </w:rPr>
        <w:t>Leitura do artigo / extração de alegações</w:t>
      </w:r>
    </w:p>
    <w:p w14:paraId="549F5582">
      <w:r>
        <w:rPr>
          <w:rFonts w:ascii="Menlo" w:hAnsi="Menlo" w:cs="Menlo"/>
          <w:color w:val="181F26"/>
          <w:spacing w:val="0"/>
          <w:sz w:val="25"/>
          <w:szCs w:val="25"/>
        </w:rPr>
        <w:t xml:space="preserve">      ↓</w:t>
      </w:r>
    </w:p>
    <w:p w14:paraId="31E304DA">
      <w:r>
        <w:rPr>
          <w:rFonts w:ascii="Menlo" w:hAnsi="Menlo" w:cs="Menlo"/>
          <w:color w:val="181F26"/>
          <w:spacing w:val="0"/>
          <w:sz w:val="25"/>
          <w:szCs w:val="25"/>
        </w:rPr>
        <w:t>Planejamento e expansão da busca</w:t>
      </w:r>
    </w:p>
    <w:p w14:paraId="1ABF64AF">
      <w:r>
        <w:rPr>
          <w:rFonts w:ascii="Menlo" w:hAnsi="Menlo" w:cs="Menlo"/>
          <w:color w:val="181F26"/>
          <w:spacing w:val="0"/>
          <w:sz w:val="25"/>
          <w:szCs w:val="25"/>
        </w:rPr>
        <w:t xml:space="preserve">      ↓</w:t>
      </w:r>
    </w:p>
    <w:p w14:paraId="08C99F80">
      <w:r>
        <w:rPr>
          <w:rFonts w:ascii="Menlo" w:hAnsi="Menlo" w:cs="Menlo"/>
          <w:color w:val="181F26"/>
          <w:spacing w:val="0"/>
          <w:sz w:val="25"/>
          <w:szCs w:val="25"/>
        </w:rPr>
        <w:t>PubMed → metadados e artigos relacionados</w:t>
      </w:r>
    </w:p>
    <w:p w14:paraId="06639173">
      <w:r>
        <w:rPr>
          <w:rFonts w:ascii="Menlo" w:hAnsi="Menlo" w:cs="Menlo"/>
          <w:color w:val="181F26"/>
          <w:spacing w:val="0"/>
          <w:sz w:val="25"/>
          <w:szCs w:val="25"/>
        </w:rPr>
        <w:t>PMC → texto completo ou abstract identificado</w:t>
      </w:r>
    </w:p>
    <w:p w14:paraId="3D0D3F08">
      <w:r>
        <w:rPr>
          <w:rFonts w:ascii="Menlo" w:hAnsi="Menlo" w:cs="Menlo"/>
          <w:color w:val="181F26"/>
          <w:spacing w:val="0"/>
          <w:sz w:val="25"/>
          <w:szCs w:val="25"/>
        </w:rPr>
        <w:t xml:space="preserve">      ↓</w:t>
      </w:r>
    </w:p>
    <w:p w14:paraId="1117E259">
      <w:r>
        <w:rPr>
          <w:rFonts w:ascii="Menlo" w:hAnsi="Menlo" w:cs="Menlo"/>
          <w:color w:val="181F26"/>
          <w:spacing w:val="0"/>
          <w:sz w:val="25"/>
          <w:szCs w:val="25"/>
        </w:rPr>
        <w:t>Chunking rastreável + recuperação BM25</w:t>
      </w:r>
    </w:p>
    <w:p w14:paraId="4FA31794">
      <w:r>
        <w:rPr>
          <w:rFonts w:ascii="Menlo" w:hAnsi="Menlo" w:cs="Menlo"/>
          <w:color w:val="181F26"/>
          <w:spacing w:val="0"/>
          <w:sz w:val="25"/>
          <w:szCs w:val="25"/>
        </w:rPr>
        <w:t xml:space="preserve">      ↓</w:t>
      </w:r>
    </w:p>
    <w:p w14:paraId="3189C393">
      <w:r>
        <w:rPr>
          <w:rFonts w:ascii="Menlo" w:hAnsi="Menlo" w:cs="Menlo"/>
          <w:color w:val="181F26"/>
          <w:spacing w:val="0"/>
          <w:sz w:val="25"/>
          <w:szCs w:val="25"/>
        </w:rPr>
        <w:t>Gemini → compatibilidade textual + linha metodológica</w:t>
      </w:r>
    </w:p>
    <w:p w14:paraId="3B44B5ED">
      <w:r>
        <w:rPr>
          <w:rFonts w:ascii="Menlo" w:hAnsi="Menlo" w:cs="Menlo"/>
          <w:color w:val="181F26"/>
          <w:spacing w:val="0"/>
          <w:sz w:val="25"/>
          <w:szCs w:val="25"/>
        </w:rPr>
        <w:t xml:space="preserve">      ↓</w:t>
      </w:r>
    </w:p>
    <w:p w14:paraId="4F1BBCDF">
      <w:r>
        <w:rPr>
          <w:rFonts w:ascii="Menlo" w:hAnsi="Menlo" w:cs="Menlo"/>
          <w:color w:val="181F26"/>
          <w:spacing w:val="0"/>
          <w:sz w:val="25"/>
          <w:szCs w:val="25"/>
        </w:rPr>
        <w:t>Síntese ponderada e indicadores separados</w:t>
      </w:r>
    </w:p>
    <w:p w14:paraId="1B1F6E5C">
      <w:r>
        <w:rPr>
          <w:rFonts w:ascii="Menlo" w:hAnsi="Menlo" w:cs="Menlo"/>
          <w:color w:val="181F26"/>
          <w:spacing w:val="0"/>
          <w:sz w:val="25"/>
          <w:szCs w:val="25"/>
        </w:rPr>
        <w:t xml:space="preserve">      ↓</w:t>
      </w:r>
    </w:p>
    <w:p w14:paraId="5C1D8E3D">
      <w:r>
        <w:rPr>
          <w:rFonts w:ascii="Menlo" w:hAnsi="Menlo" w:cs="Menlo"/>
          <w:color w:val="181F26"/>
          <w:spacing w:val="0"/>
          <w:sz w:val="25"/>
          <w:szCs w:val="25"/>
        </w:rPr>
        <w:t>Relatório JSON / Markdown / interface web</w:t>
      </w:r>
    </w:p>
    <w:p w14:paraId="0AB0DF93">
      <w:pPr>
        <w:spacing w:after="160"/>
      </w:pPr>
    </w:p>
    <w:p w14:paraId="72A5F4EE">
      <w:pPr>
        <w:spacing w:after="160"/>
      </w:pPr>
      <w:r>
        <w:rPr>
          <w:rFonts w:ascii="Arial" w:hAnsi="Arial" w:cs="Arial"/>
          <w:b/>
          <w:bCs/>
          <w:color w:val="1C3F35"/>
          <w:spacing w:val="0"/>
          <w:sz w:val="34"/>
          <w:szCs w:val="34"/>
        </w:rPr>
        <w:t>2.1 Componentes principais</w:t>
      </w:r>
    </w:p>
    <w:p w14:paraId="0D922AC7">
      <w:r>
        <w:rPr>
          <w:rFonts w:ascii="Arial" w:hAnsi="Arial" w:cs="Arial"/>
          <w:b/>
          <w:bCs/>
          <w:color w:val="FFFFFF"/>
          <w:spacing w:val="0"/>
          <w:sz w:val="25"/>
          <w:szCs w:val="25"/>
        </w:rPr>
        <w:t>CamadaResponsabilidade</w:t>
      </w:r>
    </w:p>
    <w:p w14:paraId="42D25D8F">
      <w:r>
        <w:rPr>
          <w:rFonts w:ascii="Arial" w:hAnsi="Arial" w:cs="Arial"/>
          <w:b/>
          <w:bCs/>
          <w:color w:val="FFFFFF"/>
          <w:spacing w:val="0"/>
          <w:sz w:val="25"/>
          <w:szCs w:val="25"/>
        </w:rPr>
        <w:t>Módulos principais</w:t>
      </w:r>
    </w:p>
    <w:p w14:paraId="18EFE59B">
      <w:r>
        <w:rPr>
          <w:rFonts w:ascii="Arial" w:hAnsi="Arial" w:cs="Arial"/>
          <w:color w:val="181F26"/>
          <w:spacing w:val="0"/>
          <w:sz w:val="25"/>
          <w:szCs w:val="25"/>
        </w:rPr>
        <w:t>API HTTP</w:t>
      </w:r>
    </w:p>
    <w:p w14:paraId="21A62178">
      <w:r>
        <w:rPr>
          <w:rFonts w:ascii="Arial" w:hAnsi="Arial" w:cs="Arial"/>
          <w:color w:val="181F26"/>
          <w:spacing w:val="0"/>
          <w:sz w:val="25"/>
          <w:szCs w:val="25"/>
        </w:rPr>
        <w:t>Rotas, validação do protocolo, status, erros seguros, readiness e exportação.</w:t>
      </w:r>
    </w:p>
    <w:p w14:paraId="2FAC8713">
      <w:r>
        <w:rPr>
          <w:rFonts w:ascii="Menlo" w:hAnsi="Menlo" w:cs="Menlo"/>
          <w:color w:val="181F26"/>
          <w:spacing w:val="0"/>
          <w:sz w:val="24"/>
          <w:szCs w:val="24"/>
        </w:rPr>
        <w:t>api.py</w:t>
      </w:r>
      <w:r>
        <w:rPr>
          <w:rFonts w:ascii="Arial" w:hAnsi="Arial" w:cs="Arial"/>
          <w:color w:val="181F26"/>
          <w:spacing w:val="0"/>
          <w:sz w:val="25"/>
          <w:szCs w:val="25"/>
        </w:rPr>
        <w:t xml:space="preserve">, </w:t>
      </w:r>
      <w:r>
        <w:rPr>
          <w:rFonts w:ascii="Menlo" w:hAnsi="Menlo" w:cs="Menlo"/>
          <w:color w:val="181F26"/>
          <w:spacing w:val="0"/>
          <w:sz w:val="24"/>
          <w:szCs w:val="24"/>
        </w:rPr>
        <w:t>web_ui.py</w:t>
      </w:r>
      <w:r>
        <w:rPr>
          <w:rFonts w:ascii="Arial" w:hAnsi="Arial" w:cs="Arial"/>
          <w:color w:val="181F26"/>
          <w:spacing w:val="0"/>
          <w:sz w:val="25"/>
          <w:szCs w:val="25"/>
        </w:rPr>
        <w:t xml:space="preserve">, </w:t>
      </w:r>
      <w:r>
        <w:rPr>
          <w:rFonts w:ascii="Menlo" w:hAnsi="Menlo" w:cs="Menlo"/>
          <w:color w:val="181F26"/>
          <w:spacing w:val="0"/>
          <w:sz w:val="24"/>
          <w:szCs w:val="24"/>
        </w:rPr>
        <w:t>wsgi.py</w:t>
      </w:r>
      <w:r>
        <w:rPr>
          <w:rFonts w:ascii="Arial" w:hAnsi="Arial" w:cs="Arial"/>
          <w:color w:val="181F26"/>
          <w:spacing w:val="0"/>
          <w:sz w:val="25"/>
        </w:rPr>
      </w:r>
    </w:p>
    <w:p w14:paraId="322B3179"/>
    <w:p w14:paraId="5232B551">
      <w:r>
        <w:rPr>
          <w:rFonts w:ascii="Arial" w:hAnsi="Arial" w:cs="Arial"/>
          <w:color w:val="181F26"/>
          <w:spacing w:val="0"/>
          <w:sz w:val="25"/>
          <w:szCs w:val="25"/>
        </w:rPr>
        <w:t>Orquestração</w:t>
      </w:r>
    </w:p>
    <w:p w14:paraId="2C5204BF">
      <w:r>
        <w:rPr>
          <w:rFonts w:ascii="Arial" w:hAnsi="Arial" w:cs="Arial"/>
          <w:color w:val="181F26"/>
          <w:spacing w:val="0"/>
          <w:sz w:val="25"/>
          <w:szCs w:val="25"/>
        </w:rPr>
        <w:t>Execução assíncrona, transições de estado, processamento de alegações e artigos.</w:t>
      </w:r>
    </w:p>
    <w:p w14:paraId="117E74A8">
      <w:r>
        <w:rPr>
          <w:rFonts w:ascii="Menlo" w:hAnsi="Menlo" w:cs="Menlo"/>
          <w:color w:val="181F26"/>
          <w:spacing w:val="0"/>
          <w:sz w:val="24"/>
          <w:szCs w:val="24"/>
        </w:rPr>
        <w:t>analysis_service.py</w:t>
      </w:r>
      <w:r>
        <w:rPr>
          <w:rFonts w:ascii="Arial" w:hAnsi="Arial" w:cs="Arial"/>
          <w:color w:val="181F26"/>
          <w:spacing w:val="0"/>
          <w:sz w:val="25"/>
          <w:szCs w:val="25"/>
        </w:rPr>
        <w:t xml:space="preserve">, </w:t>
      </w:r>
      <w:r>
        <w:rPr>
          <w:rFonts w:ascii="Menlo" w:hAnsi="Menlo" w:cs="Menlo"/>
          <w:color w:val="181F26"/>
          <w:spacing w:val="0"/>
          <w:sz w:val="24"/>
          <w:szCs w:val="24"/>
        </w:rPr>
        <w:t>article_ingestion.py</w:t>
      </w:r>
      <w:r>
        <w:rPr>
          <w:rFonts w:ascii="Arial" w:hAnsi="Arial" w:cs="Arial"/>
          <w:color w:val="181F26"/>
          <w:spacing w:val="0"/>
          <w:sz w:val="25"/>
          <w:szCs w:val="25"/>
        </w:rPr>
        <w:t xml:space="preserve">, </w:t>
      </w:r>
      <w:r>
        <w:rPr>
          <w:rFonts w:ascii="Menlo" w:hAnsi="Menlo" w:cs="Menlo"/>
          <w:color w:val="181F26"/>
          <w:spacing w:val="0"/>
          <w:sz w:val="24"/>
          <w:szCs w:val="24"/>
        </w:rPr>
        <w:t>retrieval_preview.py</w:t>
      </w:r>
      <w:r>
        <w:rPr>
          <w:rFonts w:ascii="Arial" w:hAnsi="Arial" w:cs="Arial"/>
          <w:color w:val="181F26"/>
          <w:spacing w:val="0"/>
          <w:sz w:val="25"/>
        </w:rPr>
      </w:r>
    </w:p>
    <w:p w14:paraId="0BB455E7"/>
    <w:p w14:paraId="0519F266">
      <w:r>
        <w:rPr>
          <w:rFonts w:ascii="Arial" w:hAnsi="Arial" w:cs="Arial"/>
          <w:color w:val="181F26"/>
          <w:spacing w:val="0"/>
          <w:sz w:val="25"/>
          <w:szCs w:val="25"/>
        </w:rPr>
        <w:t>Fontes científicas</w:t>
      </w:r>
    </w:p>
    <w:p w14:paraId="191E82F1">
      <w:r>
        <w:rPr>
          <w:rFonts w:ascii="Arial" w:hAnsi="Arial" w:cs="Arial"/>
          <w:color w:val="181F26"/>
          <w:spacing w:val="0"/>
          <w:sz w:val="25"/>
          <w:szCs w:val="25"/>
        </w:rPr>
        <w:t>Busca, metadados, abstracts e texto PMC.</w:t>
      </w:r>
    </w:p>
    <w:p w14:paraId="70E99AF1">
      <w:r>
        <w:rPr>
          <w:rFonts w:ascii="Menlo" w:hAnsi="Menlo" w:cs="Menlo"/>
          <w:color w:val="181F26"/>
          <w:spacing w:val="0"/>
          <w:sz w:val="24"/>
          <w:szCs w:val="24"/>
        </w:rPr>
        <w:t>pubmed.py</w:t>
      </w:r>
      <w:r>
        <w:rPr>
          <w:rFonts w:ascii="Arial" w:hAnsi="Arial" w:cs="Arial"/>
          <w:color w:val="181F26"/>
          <w:spacing w:val="0"/>
          <w:sz w:val="25"/>
          <w:szCs w:val="25"/>
        </w:rPr>
        <w:t xml:space="preserve">, </w:t>
      </w:r>
      <w:r>
        <w:rPr>
          <w:rFonts w:ascii="Menlo" w:hAnsi="Menlo" w:cs="Menlo"/>
          <w:color w:val="181F26"/>
          <w:spacing w:val="0"/>
          <w:sz w:val="24"/>
          <w:szCs w:val="24"/>
        </w:rPr>
        <w:t>pmc.py</w:t>
      </w:r>
      <w:r>
        <w:rPr>
          <w:rFonts w:ascii="Arial" w:hAnsi="Arial" w:cs="Arial"/>
          <w:color w:val="181F26"/>
          <w:spacing w:val="0"/>
          <w:sz w:val="25"/>
          <w:szCs w:val="25"/>
        </w:rPr>
        <w:t xml:space="preserve">, </w:t>
      </w:r>
      <w:r>
        <w:rPr>
          <w:rFonts w:ascii="Menlo" w:hAnsi="Menlo" w:cs="Menlo"/>
          <w:color w:val="181F26"/>
          <w:spacing w:val="0"/>
          <w:sz w:val="24"/>
          <w:szCs w:val="24"/>
        </w:rPr>
        <w:t>federated_search.py</w:t>
      </w:r>
      <w:r>
        <w:rPr>
          <w:rFonts w:ascii="Arial" w:hAnsi="Arial" w:cs="Arial"/>
          <w:color w:val="181F26"/>
          <w:spacing w:val="0"/>
          <w:sz w:val="25"/>
        </w:rPr>
      </w:r>
    </w:p>
    <w:p w14:paraId="3E8A989A"/>
    <w:p w14:paraId="30DEBAA0">
      <w:r>
        <w:rPr>
          <w:rFonts w:ascii="Arial" w:hAnsi="Arial" w:cs="Arial"/>
          <w:color w:val="181F26"/>
          <w:spacing w:val="0"/>
          <w:sz w:val="25"/>
          <w:szCs w:val="25"/>
        </w:rPr>
        <w:t>Recuperação</w:t>
      </w:r>
    </w:p>
    <w:p w14:paraId="554FB01F">
      <w:r>
        <w:rPr>
          <w:rFonts w:ascii="Arial" w:hAnsi="Arial" w:cs="Arial"/>
          <w:color w:val="181F26"/>
          <w:spacing w:val="0"/>
          <w:sz w:val="25"/>
          <w:szCs w:val="25"/>
        </w:rPr>
        <w:t>Chunking, busca lexical, semântica/híbrida e reranking.</w:t>
      </w:r>
    </w:p>
    <w:p w14:paraId="0C3226F0">
      <w:r>
        <w:rPr>
          <w:rFonts w:ascii="Menlo" w:hAnsi="Menlo" w:cs="Menlo"/>
          <w:color w:val="181F26"/>
          <w:spacing w:val="0"/>
          <w:sz w:val="24"/>
          <w:szCs w:val="24"/>
        </w:rPr>
        <w:t>chunking.py</w:t>
      </w:r>
      <w:r>
        <w:rPr>
          <w:rFonts w:ascii="Arial" w:hAnsi="Arial" w:cs="Arial"/>
          <w:color w:val="181F26"/>
          <w:spacing w:val="0"/>
          <w:sz w:val="25"/>
          <w:szCs w:val="25"/>
        </w:rPr>
        <w:t xml:space="preserve">, </w:t>
      </w:r>
      <w:r>
        <w:rPr>
          <w:rFonts w:ascii="Menlo" w:hAnsi="Menlo" w:cs="Menlo"/>
          <w:color w:val="181F26"/>
          <w:spacing w:val="0"/>
          <w:sz w:val="24"/>
          <w:szCs w:val="24"/>
        </w:rPr>
        <w:t>retrieval.py</w:t>
      </w:r>
      <w:r>
        <w:rPr>
          <w:rFonts w:ascii="Arial" w:hAnsi="Arial" w:cs="Arial"/>
          <w:color w:val="181F26"/>
          <w:spacing w:val="0"/>
          <w:sz w:val="25"/>
          <w:szCs w:val="25"/>
        </w:rPr>
        <w:t xml:space="preserve">, </w:t>
      </w:r>
      <w:r>
        <w:rPr>
          <w:rFonts w:ascii="Menlo" w:hAnsi="Menlo" w:cs="Menlo"/>
          <w:color w:val="181F26"/>
          <w:spacing w:val="0"/>
          <w:sz w:val="24"/>
          <w:szCs w:val="24"/>
        </w:rPr>
        <w:t>semantic_retrieval.py</w:t>
      </w:r>
      <w:r>
        <w:rPr>
          <w:rFonts w:ascii="Arial" w:hAnsi="Arial" w:cs="Arial"/>
          <w:color w:val="181F26"/>
          <w:spacing w:val="0"/>
          <w:sz w:val="25"/>
          <w:szCs w:val="25"/>
        </w:rPr>
        <w:t xml:space="preserve">, </w:t>
      </w:r>
      <w:r>
        <w:rPr>
          <w:rFonts w:ascii="Menlo" w:hAnsi="Menlo" w:cs="Menlo"/>
          <w:color w:val="181F26"/>
          <w:spacing w:val="0"/>
          <w:sz w:val="24"/>
          <w:szCs w:val="24"/>
        </w:rPr>
        <w:t>hybrid_retrieval.py</w:t>
      </w:r>
      <w:r>
        <w:rPr>
          <w:rFonts w:ascii="Arial" w:hAnsi="Arial" w:cs="Arial"/>
          <w:color w:val="181F26"/>
          <w:spacing w:val="0"/>
          <w:sz w:val="25"/>
        </w:rPr>
      </w:r>
    </w:p>
    <w:p w14:paraId="06F8B78A"/>
    <w:p w14:paraId="6A312688"/>
    <w:p w14:paraId="08C62DEE">
      <w:r>
        <w:rPr>
          <w:rFonts w:ascii="Arial" w:hAnsi="Arial" w:cs="Arial"/>
          <w:color w:val="181F26"/>
          <w:spacing w:val="0"/>
          <w:sz w:val="25"/>
          <w:szCs w:val="25"/>
        </w:rPr>
        <w:t>Análise</w:t>
      </w:r>
    </w:p>
    <w:p w14:paraId="028ECBB1">
      <w:r>
        <w:rPr>
          <w:rFonts w:ascii="Arial" w:hAnsi="Arial" w:cs="Arial"/>
          <w:color w:val="181F26"/>
          <w:spacing w:val="0"/>
          <w:sz w:val="25"/>
          <w:szCs w:val="25"/>
        </w:rPr>
        <w:t>Classificação da relação, PICO, risco de viés, evidências e dossiê.</w:t>
      </w:r>
    </w:p>
    <w:p w14:paraId="386EC660">
      <w:r>
        <w:rPr>
          <w:rFonts w:ascii="Menlo" w:hAnsi="Menlo" w:cs="Menlo"/>
          <w:color w:val="181F26"/>
          <w:spacing w:val="0"/>
          <w:sz w:val="24"/>
          <w:szCs w:val="24"/>
        </w:rPr>
        <w:t>gemini_evidence.py</w:t>
      </w:r>
      <w:r>
        <w:rPr>
          <w:rFonts w:ascii="Arial" w:hAnsi="Arial" w:cs="Arial"/>
          <w:color w:val="181F26"/>
          <w:spacing w:val="0"/>
          <w:sz w:val="25"/>
          <w:szCs w:val="25"/>
        </w:rPr>
        <w:t xml:space="preserve">, </w:t>
      </w:r>
      <w:r>
        <w:rPr>
          <w:rFonts w:ascii="Menlo" w:hAnsi="Menlo" w:cs="Menlo"/>
          <w:color w:val="181F26"/>
          <w:spacing w:val="0"/>
          <w:sz w:val="24"/>
          <w:szCs w:val="24"/>
        </w:rPr>
        <w:t>whole_article_analysis.py</w:t>
      </w:r>
      <w:r>
        <w:rPr>
          <w:rFonts w:ascii="Arial" w:hAnsi="Arial" w:cs="Arial"/>
          <w:color w:val="181F26"/>
          <w:spacing w:val="0"/>
          <w:sz w:val="25"/>
          <w:szCs w:val="25"/>
        </w:rPr>
        <w:t xml:space="preserve">, </w:t>
      </w:r>
      <w:r>
        <w:rPr>
          <w:rFonts w:ascii="Menlo" w:hAnsi="Menlo" w:cs="Menlo"/>
          <w:color w:val="181F26"/>
          <w:spacing w:val="0"/>
          <w:sz w:val="24"/>
          <w:szCs w:val="24"/>
        </w:rPr>
        <w:t>article_profile.py</w:t>
      </w:r>
      <w:r>
        <w:rPr>
          <w:rFonts w:ascii="Arial" w:hAnsi="Arial" w:cs="Arial"/>
          <w:color w:val="181F26"/>
          <w:spacing w:val="0"/>
          <w:sz w:val="25"/>
        </w:rPr>
      </w:r>
    </w:p>
    <w:p w14:paraId="534CC1B3"/>
    <w:p w14:paraId="6FB1D922"/>
    <w:p w14:paraId="6F1F37AF">
      <w:r>
        <w:rPr>
          <w:rFonts w:ascii="Arial" w:hAnsi="Arial" w:cs="Arial"/>
          <w:color w:val="181F26"/>
          <w:spacing w:val="0"/>
          <w:sz w:val="25"/>
          <w:szCs w:val="25"/>
        </w:rPr>
        <w:t>Síntese</w:t>
      </w:r>
    </w:p>
    <w:p w14:paraId="2623B865">
      <w:r>
        <w:rPr>
          <w:rFonts w:ascii="Arial" w:hAnsi="Arial" w:cs="Arial"/>
          <w:color w:val="181F26"/>
          <w:spacing w:val="0"/>
          <w:sz w:val="25"/>
          <w:szCs w:val="25"/>
        </w:rPr>
        <w:t>Ponderação, certeza estimada, indicadores e narrativa ao usuário.</w:t>
      </w:r>
    </w:p>
    <w:p w14:paraId="0F3E1CBD">
      <w:r>
        <w:rPr>
          <w:rFonts w:ascii="Menlo" w:hAnsi="Menlo" w:cs="Menlo"/>
          <w:color w:val="181F26"/>
          <w:spacing w:val="0"/>
          <w:sz w:val="24"/>
          <w:szCs w:val="24"/>
        </w:rPr>
        <w:t>evidence_table.py</w:t>
      </w:r>
      <w:r>
        <w:rPr>
          <w:rFonts w:ascii="Arial" w:hAnsi="Arial" w:cs="Arial"/>
          <w:color w:val="181F26"/>
          <w:spacing w:val="0"/>
          <w:sz w:val="25"/>
          <w:szCs w:val="25"/>
        </w:rPr>
        <w:t xml:space="preserve">, </w:t>
      </w:r>
      <w:r>
        <w:rPr>
          <w:rFonts w:ascii="Menlo" w:hAnsi="Menlo" w:cs="Menlo"/>
          <w:color w:val="181F26"/>
          <w:spacing w:val="0"/>
          <w:sz w:val="24"/>
          <w:szCs w:val="24"/>
        </w:rPr>
        <w:t>verification_cards.py</w:t>
      </w:r>
      <w:r>
        <w:rPr>
          <w:rFonts w:ascii="Arial" w:hAnsi="Arial" w:cs="Arial"/>
          <w:color w:val="181F26"/>
          <w:spacing w:val="0"/>
          <w:sz w:val="25"/>
          <w:szCs w:val="25"/>
        </w:rPr>
        <w:t xml:space="preserve">, </w:t>
      </w:r>
      <w:r>
        <w:rPr>
          <w:rFonts w:ascii="Menlo" w:hAnsi="Menlo" w:cs="Menlo"/>
          <w:color w:val="181F26"/>
          <w:spacing w:val="0"/>
          <w:sz w:val="24"/>
          <w:szCs w:val="24"/>
        </w:rPr>
        <w:t>result_presentation.py</w:t>
      </w:r>
      <w:r>
        <w:rPr>
          <w:rFonts w:ascii="Arial" w:hAnsi="Arial" w:cs="Arial"/>
          <w:color w:val="181F26"/>
          <w:spacing w:val="0"/>
          <w:sz w:val="25"/>
        </w:rPr>
      </w:r>
    </w:p>
    <w:p w14:paraId="7B20D12E"/>
    <w:p w14:paraId="17F4F685">
      <w:r>
        <w:rPr>
          <w:rFonts w:ascii="Arial" w:hAnsi="Arial" w:cs="Arial"/>
          <w:color w:val="181F26"/>
          <w:spacing w:val="0"/>
          <w:sz w:val="25"/>
          <w:szCs w:val="25"/>
        </w:rPr>
        <w:t>Infraestrutura</w:t>
      </w:r>
    </w:p>
    <w:p w14:paraId="69DCF20F">
      <w:r>
        <w:rPr>
          <w:rFonts w:ascii="Arial" w:hAnsi="Arial" w:cs="Arial"/>
          <w:color w:val="181F26"/>
          <w:spacing w:val="0"/>
          <w:sz w:val="25"/>
          <w:szCs w:val="25"/>
        </w:rPr>
        <w:t>Contêiner, logs estruturados, health/readiness e dashboards.</w:t>
      </w:r>
    </w:p>
    <w:p w14:paraId="13229BCE">
      <w:r>
        <w:rPr>
          <w:rFonts w:ascii="Menlo" w:hAnsi="Menlo" w:cs="Menlo"/>
          <w:color w:val="181F26"/>
          <w:spacing w:val="0"/>
          <w:sz w:val="24"/>
          <w:szCs w:val="24"/>
        </w:rPr>
        <w:t>Dockerfile</w:t>
      </w:r>
      <w:r>
        <w:rPr>
          <w:rFonts w:ascii="Arial" w:hAnsi="Arial" w:cs="Arial"/>
          <w:color w:val="181F26"/>
          <w:spacing w:val="0"/>
          <w:sz w:val="25"/>
          <w:szCs w:val="25"/>
        </w:rPr>
        <w:t xml:space="preserve">, </w:t>
      </w:r>
      <w:r>
        <w:rPr>
          <w:rFonts w:ascii="Menlo" w:hAnsi="Menlo" w:cs="Menlo"/>
          <w:color w:val="181F26"/>
          <w:spacing w:val="0"/>
          <w:sz w:val="24"/>
          <w:szCs w:val="24"/>
        </w:rPr>
        <w:t>docker-compose.yml</w:t>
      </w:r>
      <w:r>
        <w:rPr>
          <w:rFonts w:ascii="Arial" w:hAnsi="Arial" w:cs="Arial"/>
          <w:color w:val="181F26"/>
          <w:spacing w:val="0"/>
          <w:sz w:val="25"/>
          <w:szCs w:val="25"/>
        </w:rPr>
        <w:t xml:space="preserve">, </w:t>
      </w:r>
      <w:r>
        <w:rPr>
          <w:rFonts w:ascii="Menlo" w:hAnsi="Menlo" w:cs="Menlo"/>
          <w:color w:val="181F26"/>
          <w:spacing w:val="0"/>
          <w:sz w:val="24"/>
          <w:szCs w:val="24"/>
        </w:rPr>
        <w:t>structured_logging.py</w:t>
      </w:r>
      <w:r>
        <w:rPr>
          <w:rFonts w:ascii="Arial" w:hAnsi="Arial" w:cs="Arial"/>
          <w:color w:val="181F26"/>
          <w:spacing w:val="0"/>
          <w:sz w:val="25"/>
        </w:rPr>
      </w:r>
    </w:p>
    <w:p w14:paraId="5B20491B"/>
    <w:p w14:paraId="25CC9EA6"/>
    <w:p w14:paraId="2145B159">
      <w:pPr>
        <w:spacing w:after="160"/>
      </w:pPr>
      <w:r>
        <w:rPr>
          <w:rFonts w:ascii="Arial" w:hAnsi="Arial" w:cs="Arial"/>
          <w:b/>
          <w:bCs/>
          <w:color w:val="1C3F35"/>
          <w:spacing w:val="0"/>
          <w:sz w:val="34"/>
          <w:szCs w:val="34"/>
        </w:rPr>
        <w:t>2.2 Estados do processamento</w:t>
      </w:r>
    </w:p>
    <w:p w14:paraId="6519AA22">
      <w:pPr>
        <w:spacing w:after="213"/>
        <w:jc w:val="both"/>
      </w:pPr>
      <w:r>
        <w:rPr>
          <w:rFonts w:ascii="Arial" w:hAnsi="Arial" w:cs="Arial"/>
          <w:color w:val="181F26"/>
          <w:spacing w:val="0"/>
          <w:sz w:val="29"/>
          <w:szCs w:val="29"/>
        </w:rPr>
        <w:t xml:space="preserve">Os jobs percorrem estados explícitos: </w:t>
      </w:r>
      <w:r>
        <w:rPr>
          <w:rFonts w:ascii="Menlo" w:hAnsi="Menlo" w:cs="Menlo"/>
          <w:color w:val="181F26"/>
          <w:spacing w:val="0"/>
          <w:sz w:val="24"/>
          <w:szCs w:val="24"/>
        </w:rPr>
        <w:t>QUEUED</w:t>
      </w:r>
      <w:r>
        <w:rPr>
          <w:rFonts w:ascii="Arial" w:hAnsi="Arial" w:cs="Arial"/>
          <w:color w:val="181F26"/>
          <w:spacing w:val="0"/>
          <w:sz w:val="29"/>
          <w:szCs w:val="29"/>
        </w:rPr>
        <w:t xml:space="preserve">, </w:t>
      </w:r>
      <w:r>
        <w:rPr>
          <w:rFonts w:ascii="Menlo" w:hAnsi="Menlo" w:cs="Menlo"/>
          <w:color w:val="181F26"/>
          <w:spacing w:val="0"/>
          <w:sz w:val="24"/>
          <w:szCs w:val="24"/>
        </w:rPr>
        <w:t>RUNNING</w:t>
      </w:r>
      <w:r>
        <w:rPr>
          <w:rFonts w:ascii="Arial" w:hAnsi="Arial" w:cs="Arial"/>
          <w:color w:val="181F26"/>
          <w:spacing w:val="0"/>
          <w:sz w:val="29"/>
          <w:szCs w:val="29"/>
        </w:rPr>
        <w:t xml:space="preserve">, </w:t>
      </w:r>
      <w:r>
        <w:rPr>
          <w:rFonts w:ascii="Menlo" w:hAnsi="Menlo" w:cs="Menlo"/>
          <w:color w:val="181F26"/>
          <w:spacing w:val="0"/>
          <w:sz w:val="24"/>
          <w:szCs w:val="24"/>
        </w:rPr>
        <w:t>AWAITING_CLAIM_SELECTION</w:t>
      </w:r>
      <w:r>
        <w:rPr>
          <w:rFonts w:ascii="Arial" w:hAnsi="Arial" w:cs="Arial"/>
          <w:color w:val="181F26"/>
          <w:spacing w:val="0"/>
          <w:sz w:val="29"/>
          <w:szCs w:val="29"/>
        </w:rPr>
        <w:t xml:space="preserve">, </w:t>
      </w:r>
      <w:r>
        <w:rPr>
          <w:rFonts w:ascii="Menlo" w:hAnsi="Menlo" w:cs="Menlo"/>
          <w:color w:val="181F26"/>
          <w:spacing w:val="0"/>
          <w:sz w:val="24"/>
          <w:szCs w:val="24"/>
        </w:rPr>
        <w:t>RESEARCHING</w:t>
      </w:r>
      <w:r>
        <w:rPr>
          <w:rFonts w:ascii="Arial" w:hAnsi="Arial" w:cs="Arial"/>
          <w:color w:val="181F26"/>
          <w:spacing w:val="0"/>
          <w:sz w:val="29"/>
          <w:szCs w:val="29"/>
        </w:rPr>
        <w:t xml:space="preserve">, </w:t>
      </w:r>
      <w:r>
        <w:rPr>
          <w:rFonts w:ascii="Menlo" w:hAnsi="Menlo" w:cs="Menlo"/>
          <w:color w:val="181F26"/>
          <w:spacing w:val="0"/>
          <w:sz w:val="24"/>
          <w:szCs w:val="24"/>
        </w:rPr>
        <w:t>SUCCEEDED</w:t>
      </w:r>
      <w:r>
        <w:rPr>
          <w:rFonts w:ascii="Arial" w:hAnsi="Arial" w:cs="Arial"/>
          <w:color w:val="181F26"/>
          <w:spacing w:val="0"/>
          <w:sz w:val="29"/>
          <w:szCs w:val="29"/>
        </w:rPr>
        <w:t xml:space="preserve"> e </w:t>
      </w:r>
      <w:r>
        <w:rPr>
          <w:rFonts w:ascii="Menlo" w:hAnsi="Menlo" w:cs="Menlo"/>
          <w:color w:val="181F26"/>
          <w:spacing w:val="0"/>
          <w:sz w:val="24"/>
          <w:szCs w:val="24"/>
        </w:rPr>
        <w:t>FAILED</w:t>
      </w:r>
      <w:r>
        <w:rPr>
          <w:rFonts w:ascii="Arial" w:hAnsi="Arial" w:cs="Arial"/>
          <w:color w:val="181F26"/>
          <w:spacing w:val="0"/>
          <w:sz w:val="29"/>
          <w:szCs w:val="29"/>
        </w:rPr>
        <w:t xml:space="preserve">. As transições são monotônicas e protegidas por lock. Após uma reinicialização, trabalhos que estavam em execução são finalizados com o código </w:t>
      </w:r>
      <w:r>
        <w:rPr>
          <w:rFonts w:ascii="Menlo" w:hAnsi="Menlo" w:cs="Menlo"/>
          <w:color w:val="181F26"/>
          <w:spacing w:val="0"/>
          <w:sz w:val="24"/>
          <w:szCs w:val="24"/>
        </w:rPr>
        <w:t>APPLICATION_RESTARTED</w:t>
      </w:r>
      <w:r>
        <w:rPr>
          <w:rFonts w:ascii="Arial" w:hAnsi="Arial" w:cs="Arial"/>
          <w:color w:val="181F26"/>
          <w:spacing w:val="0"/>
          <w:sz w:val="29"/>
          <w:szCs w:val="29"/>
        </w:rPr>
        <w:t>, evitando jobs indefinidamente presos.</w:t>
      </w:r>
    </w:p>
    <w:p w14:paraId="596DE912">
      <w:pPr>
        <w:spacing w:after="213"/>
      </w:pPr>
    </w:p>
    <w:p w14:paraId="7129F363">
      <w:pPr>
        <w:spacing w:after="160"/>
      </w:pPr>
      <w:r>
        <w:rPr>
          <w:rFonts w:ascii="Arial" w:hAnsi="Arial" w:cs="Arial"/>
          <w:b/>
          <w:bCs/>
          <w:color w:val="1C3F35"/>
          <w:spacing w:val="0"/>
          <w:sz w:val="34"/>
          <w:szCs w:val="34"/>
        </w:rPr>
        <w:t>2.3 Contrato HTTP principal</w:t>
      </w:r>
    </w:p>
    <w:p w14:paraId="1EE222E3">
      <w:r>
        <w:rPr>
          <w:rFonts w:ascii="Arial" w:hAnsi="Arial" w:cs="Arial"/>
          <w:b/>
          <w:bCs/>
          <w:color w:val="FFFFFF"/>
          <w:spacing w:val="0"/>
          <w:sz w:val="25"/>
          <w:szCs w:val="25"/>
        </w:rPr>
        <w:t>EndpointFunção</w:t>
      </w:r>
    </w:p>
    <w:p w14:paraId="32BBC6F3">
      <w:r>
        <w:rPr>
          <w:rFonts w:ascii="Menlo" w:hAnsi="Menlo" w:cs="Menlo"/>
          <w:color w:val="181F26"/>
          <w:spacing w:val="0"/>
          <w:sz w:val="24"/>
          <w:szCs w:val="24"/>
        </w:rPr>
        <w:t>GET /api/v1/health</w:t>
      </w:r>
      <w:r>
        <w:rPr>
          <w:rFonts w:ascii="Arial" w:hAnsi="Arial" w:cs="Arial"/>
          <w:color w:val="181F26"/>
          <w:spacing w:val="0"/>
          <w:sz w:val="25"/>
        </w:rPr>
      </w:r>
    </w:p>
    <w:p w14:paraId="43505245">
      <w:r>
        <w:rPr>
          <w:rFonts w:ascii="Arial" w:hAnsi="Arial" w:cs="Arial"/>
          <w:color w:val="181F26"/>
          <w:spacing w:val="0"/>
          <w:sz w:val="25"/>
          <w:szCs w:val="25"/>
        </w:rPr>
        <w:t>Liveness simples do processo.</w:t>
      </w:r>
    </w:p>
    <w:p w14:paraId="4E98F312">
      <w:r>
        <w:rPr>
          <w:rFonts w:ascii="Menlo" w:hAnsi="Menlo" w:cs="Menlo"/>
          <w:color w:val="181F26"/>
          <w:spacing w:val="0"/>
          <w:sz w:val="24"/>
          <w:szCs w:val="24"/>
        </w:rPr>
        <w:t>GET /api/v1/ready</w:t>
      </w:r>
      <w:r>
        <w:rPr>
          <w:rFonts w:ascii="Arial" w:hAnsi="Arial" w:cs="Arial"/>
          <w:color w:val="181F26"/>
          <w:spacing w:val="0"/>
          <w:sz w:val="25"/>
        </w:rPr>
      </w:r>
    </w:p>
    <w:p w14:paraId="671E6C52">
      <w:r>
        <w:rPr>
          <w:rFonts w:ascii="Arial" w:hAnsi="Arial" w:cs="Arial"/>
          <w:color w:val="181F26"/>
          <w:spacing w:val="0"/>
          <w:sz w:val="25"/>
          <w:szCs w:val="25"/>
        </w:rPr>
        <w:t>Prontidão local: banco e executor.</w:t>
      </w:r>
    </w:p>
    <w:p w14:paraId="3D745435">
      <w:r>
        <w:rPr>
          <w:rFonts w:ascii="Menlo" w:hAnsi="Menlo" w:cs="Menlo"/>
          <w:color w:val="181F26"/>
          <w:spacing w:val="0"/>
          <w:sz w:val="24"/>
          <w:szCs w:val="24"/>
        </w:rPr>
        <w:t>POST /api/v1/pubmed-search</w:t>
      </w:r>
      <w:r>
        <w:rPr>
          <w:rFonts w:ascii="Arial" w:hAnsi="Arial" w:cs="Arial"/>
          <w:color w:val="181F26"/>
          <w:spacing w:val="0"/>
          <w:sz w:val="25"/>
        </w:rPr>
      </w:r>
    </w:p>
    <w:p w14:paraId="2EF2CBD1">
      <w:r>
        <w:rPr>
          <w:rFonts w:ascii="Arial" w:hAnsi="Arial" w:cs="Arial"/>
          <w:color w:val="181F26"/>
          <w:spacing w:val="0"/>
          <w:sz w:val="25"/>
          <w:szCs w:val="25"/>
        </w:rPr>
        <w:t>Busca temática paginada no PubMed.</w:t>
      </w:r>
    </w:p>
    <w:p w14:paraId="185774F1">
      <w:r>
        <w:rPr>
          <w:rFonts w:ascii="Menlo" w:hAnsi="Menlo" w:cs="Menlo"/>
          <w:color w:val="181F26"/>
          <w:spacing w:val="0"/>
          <w:sz w:val="24"/>
          <w:szCs w:val="24"/>
        </w:rPr>
        <w:t>POST /api/v1/analyses</w:t>
      </w:r>
      <w:r>
        <w:rPr>
          <w:rFonts w:ascii="Arial" w:hAnsi="Arial" w:cs="Arial"/>
          <w:color w:val="181F26"/>
          <w:spacing w:val="0"/>
          <w:sz w:val="25"/>
        </w:rPr>
      </w:r>
    </w:p>
    <w:p w14:paraId="10C03CC4">
      <w:r>
        <w:rPr>
          <w:rFonts w:ascii="Arial" w:hAnsi="Arial" w:cs="Arial"/>
          <w:color w:val="181F26"/>
          <w:spacing w:val="0"/>
          <w:sz w:val="25"/>
          <w:szCs w:val="25"/>
        </w:rPr>
        <w:t>Cria análise a partir de uma alegação.</w:t>
      </w:r>
    </w:p>
    <w:p w14:paraId="7F2AFD2B">
      <w:r>
        <w:rPr>
          <w:rFonts w:ascii="Menlo" w:hAnsi="Menlo" w:cs="Menlo"/>
          <w:color w:val="181F26"/>
          <w:spacing w:val="0"/>
          <w:sz w:val="24"/>
          <w:szCs w:val="24"/>
        </w:rPr>
        <w:t>POST /api/v1/article-analyses</w:t>
      </w:r>
      <w:r>
        <w:rPr>
          <w:rFonts w:ascii="Arial" w:hAnsi="Arial" w:cs="Arial"/>
          <w:color w:val="181F26"/>
          <w:spacing w:val="0"/>
          <w:sz w:val="25"/>
        </w:rPr>
      </w:r>
    </w:p>
    <w:p w14:paraId="0C668BFA">
      <w:r>
        <w:rPr>
          <w:rFonts w:ascii="Arial" w:hAnsi="Arial" w:cs="Arial"/>
          <w:color w:val="181F26"/>
          <w:spacing w:val="0"/>
          <w:sz w:val="25"/>
          <w:szCs w:val="25"/>
        </w:rPr>
        <w:t>Cria análise a partir de referência ou arquivo.</w:t>
      </w:r>
    </w:p>
    <w:p w14:paraId="1B4ABAAA">
      <w:r>
        <w:rPr>
          <w:rFonts w:ascii="Menlo" w:hAnsi="Menlo" w:cs="Menlo"/>
          <w:color w:val="181F26"/>
          <w:spacing w:val="0"/>
          <w:sz w:val="24"/>
          <w:szCs w:val="24"/>
        </w:rPr>
        <w:t>GET /api/v1/analyses/{id}</w:t>
      </w:r>
      <w:r>
        <w:rPr>
          <w:rFonts w:ascii="Arial" w:hAnsi="Arial" w:cs="Arial"/>
          <w:color w:val="181F26"/>
          <w:spacing w:val="0"/>
          <w:sz w:val="25"/>
        </w:rPr>
      </w:r>
    </w:p>
    <w:p w14:paraId="1A17985E">
      <w:r>
        <w:rPr>
          <w:rFonts w:ascii="Arial" w:hAnsi="Arial" w:cs="Arial"/>
          <w:color w:val="181F26"/>
          <w:spacing w:val="0"/>
          <w:sz w:val="25"/>
          <w:szCs w:val="25"/>
        </w:rPr>
        <w:t>Consulta status ou resultado completo.</w:t>
      </w:r>
    </w:p>
    <w:p w14:paraId="0994EF07">
      <w:r>
        <w:rPr>
          <w:rFonts w:ascii="Menlo" w:hAnsi="Menlo" w:cs="Menlo"/>
          <w:color w:val="181F26"/>
          <w:spacing w:val="0"/>
          <w:sz w:val="24"/>
          <w:szCs w:val="24"/>
        </w:rPr>
        <w:t>POST /api/v1/article-analyses/{id}/claims</w:t>
      </w:r>
      <w:r>
        <w:rPr>
          <w:rFonts w:ascii="Arial" w:hAnsi="Arial" w:cs="Arial"/>
          <w:color w:val="181F26"/>
          <w:spacing w:val="0"/>
          <w:sz w:val="25"/>
        </w:rPr>
      </w:r>
    </w:p>
    <w:p w14:paraId="565B5B50">
      <w:r>
        <w:rPr>
          <w:rFonts w:ascii="Arial" w:hAnsi="Arial" w:cs="Arial"/>
          <w:color w:val="181F26"/>
          <w:spacing w:val="0"/>
          <w:sz w:val="25"/>
          <w:szCs w:val="25"/>
        </w:rPr>
        <w:t>Seleciona alegações para investigação.</w:t>
      </w:r>
    </w:p>
    <w:p w14:paraId="4E67E9F9">
      <w:r>
        <w:rPr>
          <w:rFonts w:ascii="Menlo" w:hAnsi="Menlo" w:cs="Menlo"/>
          <w:color w:val="181F26"/>
          <w:spacing w:val="0"/>
          <w:sz w:val="24"/>
          <w:szCs w:val="24"/>
        </w:rPr>
        <w:t>GET /api/v1/analyses/{id}/report.md</w:t>
      </w:r>
      <w:r>
        <w:rPr>
          <w:rFonts w:ascii="Arial" w:hAnsi="Arial" w:cs="Arial"/>
          <w:color w:val="181F26"/>
          <w:spacing w:val="0"/>
          <w:sz w:val="25"/>
        </w:rPr>
      </w:r>
    </w:p>
    <w:p w14:paraId="2EC6B019">
      <w:r>
        <w:rPr>
          <w:rFonts w:ascii="Arial" w:hAnsi="Arial" w:cs="Arial"/>
          <w:color w:val="181F26"/>
          <w:spacing w:val="0"/>
          <w:sz w:val="25"/>
          <w:szCs w:val="25"/>
        </w:rPr>
        <w:t>Exporta relatório rastreável em Markdown.</w:t>
      </w:r>
    </w:p>
    <w:p w14:paraId="2C401ED5"/>
    <w:p w14:paraId="62A2837D">
      <w:r>
        <w:rPr>
          <w:rFonts w:ascii="Arial" w:hAnsi="Arial" w:cs="Arial"/>
          <w:color w:val="181F26"/>
          <w:spacing w:val="0"/>
          <w:sz w:val="29"/>
        </w:rPr>
      </w:r>
    </w:p>
    <w:p w14:paraId="24FEC7B3">
      <w:pPr>
        <w:spacing w:after="213"/>
      </w:pPr>
      <w:r>
        <w:rPr>
          <w:rFonts w:ascii="Arial" w:hAnsi="Arial" w:cs="Arial"/>
          <w:b/>
          <w:bCs/>
          <w:color w:val="1A4A3A"/>
          <w:spacing w:val="0"/>
          <w:sz w:val="42"/>
          <w:szCs w:val="42"/>
        </w:rPr>
        <w:t>3. Linha do tempo do desenvolvimento</w:t>
      </w:r>
    </w:p>
    <w:p w14:paraId="015CB62A">
      <w:pPr>
        <w:spacing w:after="160"/>
      </w:pPr>
      <w:r>
        <w:rPr>
          <w:rFonts w:ascii="Arial" w:hAnsi="Arial" w:cs="Arial"/>
          <w:b/>
          <w:bCs/>
          <w:color w:val="1C3F35"/>
          <w:spacing w:val="0"/>
          <w:sz w:val="34"/>
          <w:szCs w:val="34"/>
        </w:rPr>
        <w:t>Etapa 1 — Prova de conceito e validação da entrada</w:t>
      </w:r>
    </w:p>
    <w:p w14:paraId="064CF886">
      <w:pPr>
        <w:spacing w:after="213"/>
        <w:jc w:val="both"/>
      </w:pPr>
      <w:r>
        <w:rPr>
          <w:rFonts w:ascii="Arial" w:hAnsi="Arial" w:cs="Arial"/>
          <w:b/>
          <w:bCs/>
          <w:color w:val="143A2E"/>
          <w:spacing w:val="0"/>
          <w:sz w:val="29"/>
          <w:szCs w:val="29"/>
        </w:rPr>
        <w:t>Dificuldade: 2/5</w:t>
      </w:r>
      <w:r>
        <w:rPr>
          <w:rFonts w:ascii="Arial" w:hAnsi="Arial" w:cs="Arial"/>
          <w:color w:val="181F26"/>
          <w:spacing w:val="0"/>
          <w:sz w:val="29"/>
        </w:rPr>
      </w:r>
    </w:p>
    <w:p w14:paraId="5823D9B6">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primeiro fluxo foi organizado em notebooks para validar alegações textuais, DOI/URL e preparação de consultas. A entrada passou a ter limites de tamanho, normalização de espaços e rejeição de referências inválidas.</w:t>
      </w:r>
    </w:p>
    <w:p w14:paraId="0E5A8D10">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A principal dificuldade foi impedir que entradas livres fossem confundidas com referências válidas ou comandos. O sistema precisou diferenciar alegação, DOI, URL e ausência de referência sem “adivinhar” a intenção.</w:t>
      </w:r>
    </w:p>
    <w:p w14:paraId="7A6C674A">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A alegação passou a ser tratada como objeto de análise, não como pergunta respondida diretamente pelo modelo. Essa separação criou a base para busca científica reproduzível.</w:t>
      </w:r>
    </w:p>
    <w:p w14:paraId="6A532C20">
      <w:pPr>
        <w:spacing w:after="213"/>
      </w:pPr>
    </w:p>
    <w:p w14:paraId="645F1DBD">
      <w:pPr>
        <w:spacing w:after="160"/>
      </w:pPr>
      <w:r>
        <w:rPr>
          <w:rFonts w:ascii="Arial" w:hAnsi="Arial" w:cs="Arial"/>
          <w:b/>
          <w:bCs/>
          <w:color w:val="1C3F35"/>
          <w:spacing w:val="0"/>
          <w:sz w:val="34"/>
          <w:szCs w:val="34"/>
        </w:rPr>
        <w:t>Etapa 2 — Integração com PubMed e PMC</w:t>
      </w:r>
    </w:p>
    <w:p w14:paraId="0BFDA848">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4837C516">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Foram criados clientes para ESearch, ESummary, ELink e recuperação de abstracts/texto completo. Metadados foram normalizados em entidades internas, com PMID, DOI, título, autores, periódico, tipos de publicação e URLs.</w:t>
      </w:r>
    </w:p>
    <w:p w14:paraId="1806C9DC">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As respostas do NCBI variam conforme o registro. Alguns artigos não possuem abstract, outros não estão no PMC, e erros transitórios ou limites da API precisam ser tratados sem fabricar conteúdo.</w:t>
      </w:r>
    </w:p>
    <w:p w14:paraId="5479E051">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O sistema adotou hierarquia explícita de acesso: texto completo PMC primeiro; abstract como fallback identificado; metadados isolados nunca são tratados como evidência textual.</w:t>
      </w:r>
    </w:p>
    <w:p w14:paraId="32E89B7E">
      <w:pPr>
        <w:spacing w:after="160"/>
      </w:pPr>
      <w:r>
        <w:rPr>
          <w:rFonts w:ascii="Arial" w:hAnsi="Arial" w:cs="Arial"/>
          <w:b/>
          <w:bCs/>
          <w:color w:val="1C3F35"/>
          <w:spacing w:val="0"/>
          <w:sz w:val="34"/>
          <w:szCs w:val="34"/>
        </w:rPr>
        <w:t>Etapa 3 — Chunking e rastreabilidade dos trechos</w:t>
      </w:r>
    </w:p>
    <w:p w14:paraId="135F50D3">
      <w:pPr>
        <w:spacing w:after="213"/>
        <w:jc w:val="both"/>
      </w:pPr>
      <w:r>
        <w:rPr>
          <w:rFonts w:ascii="Arial" w:hAnsi="Arial" w:cs="Arial"/>
          <w:b/>
          <w:bCs/>
          <w:color w:val="143A2E"/>
          <w:spacing w:val="0"/>
          <w:sz w:val="29"/>
          <w:szCs w:val="29"/>
        </w:rPr>
        <w:t>Dificuldade: 3/5</w:t>
      </w:r>
      <w:r>
        <w:rPr>
          <w:rFonts w:ascii="Arial" w:hAnsi="Arial" w:cs="Arial"/>
          <w:color w:val="181F26"/>
          <w:spacing w:val="0"/>
          <w:sz w:val="29"/>
        </w:rPr>
      </w:r>
    </w:p>
    <w:p w14:paraId="1FF9A977">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conteúdo foi dividido em chunks com sobreposição, identificador estável, seção, página quando disponível e URL de origem. Seções de Resultados e Conclusão receberam prioridade na seleção.</w:t>
      </w:r>
    </w:p>
    <w:p w14:paraId="62E5EDE0">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Era necessário manter contexto suficiente sem enviar artigos inteiros desnecessariamente ao modelo. XML, HTML e PDF possuem estruturas diferentes e muitas fontes não fornecem paginação física.</w:t>
      </w:r>
    </w:p>
    <w:p w14:paraId="071B98AA">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Toda evidência passou a exigir proveniência. Quando a página não existe na fonte, o sistema declara “página não disponível”, em vez de estimá-la.</w:t>
      </w:r>
    </w:p>
    <w:p w14:paraId="34D3FAC2">
      <w:pPr>
        <w:spacing w:after="160"/>
      </w:pPr>
      <w:r>
        <w:rPr>
          <w:rFonts w:ascii="Arial" w:hAnsi="Arial" w:cs="Arial"/>
          <w:b/>
          <w:bCs/>
          <w:color w:val="1C3F35"/>
          <w:spacing w:val="0"/>
          <w:sz w:val="34"/>
          <w:szCs w:val="34"/>
        </w:rPr>
        <w:t>Etapa 4 — Recuperação lexical, semântica e híbrida</w:t>
      </w:r>
    </w:p>
    <w:p w14:paraId="02744918">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6EE5D7C2">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Foram implementados BM25, embeddings multilíngues e combinação por Reciprocal Rank Fusion (RRF). O ranking registra a contribuição de cada método e mantém desempate determinístico.</w:t>
      </w:r>
    </w:p>
    <w:p w14:paraId="000B4B8D">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Scores lexicais e vetoriais não são diretamente comparáveis. Somá-los produziria uma escala arbitrária. Também houve o desafio de cruzar alegações em português com literatura majoritariamente em inglês.</w:t>
      </w:r>
    </w:p>
    <w:p w14:paraId="2ECDAFEC">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A fusão passou a usar posições, não soma de scores. No runtime atual, o caminho principal é conservador e privilegia BM25 sobre trechos reais; tradução de consulta usa modelo local quando disponível e Gemini como fallback.</w:t>
      </w:r>
    </w:p>
    <w:p w14:paraId="69DEFAA1">
      <w:pPr>
        <w:spacing w:after="160"/>
      </w:pPr>
      <w:r>
        <w:rPr>
          <w:rFonts w:ascii="Arial" w:hAnsi="Arial" w:cs="Arial"/>
          <w:b/>
          <w:bCs/>
          <w:color w:val="1C3F35"/>
          <w:spacing w:val="0"/>
          <w:sz w:val="34"/>
          <w:szCs w:val="34"/>
        </w:rPr>
        <w:t>Etapa 5 — Classificação de compatibilidade</w:t>
      </w:r>
    </w:p>
    <w:p w14:paraId="309D9A87">
      <w:pPr>
        <w:spacing w:after="213"/>
        <w:jc w:val="both"/>
      </w:pPr>
      <w:r>
        <w:rPr>
          <w:rFonts w:ascii="Arial" w:hAnsi="Arial" w:cs="Arial"/>
          <w:b/>
          <w:bCs/>
          <w:color w:val="143A2E"/>
          <w:spacing w:val="0"/>
          <w:sz w:val="29"/>
          <w:szCs w:val="29"/>
        </w:rPr>
        <w:t>Dificuldade: 5/5</w:t>
      </w:r>
      <w:r>
        <w:rPr>
          <w:rFonts w:ascii="Arial" w:hAnsi="Arial" w:cs="Arial"/>
          <w:color w:val="181F26"/>
          <w:spacing w:val="0"/>
          <w:sz w:val="29"/>
        </w:rPr>
      </w:r>
    </w:p>
    <w:p w14:paraId="13A37EED">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Cada trecho é classificado como </w:t>
      </w:r>
      <w:r>
        <w:rPr>
          <w:rFonts w:ascii="Menlo" w:hAnsi="Menlo" w:cs="Menlo"/>
          <w:color w:val="181F26"/>
          <w:spacing w:val="0"/>
          <w:sz w:val="24"/>
          <w:szCs w:val="24"/>
        </w:rPr>
        <w:t>SUPPORTS</w:t>
      </w:r>
      <w:r>
        <w:rPr>
          <w:rFonts w:ascii="Arial" w:hAnsi="Arial" w:cs="Arial"/>
          <w:color w:val="181F26"/>
          <w:spacing w:val="0"/>
          <w:sz w:val="29"/>
          <w:szCs w:val="29"/>
        </w:rPr>
        <w:t xml:space="preserve">, </w:t>
      </w:r>
      <w:r>
        <w:rPr>
          <w:rFonts w:ascii="Menlo" w:hAnsi="Menlo" w:cs="Menlo"/>
          <w:color w:val="181F26"/>
          <w:spacing w:val="0"/>
          <w:sz w:val="24"/>
          <w:szCs w:val="24"/>
        </w:rPr>
        <w:t>CONTRADICTS</w:t>
      </w:r>
      <w:r>
        <w:rPr>
          <w:rFonts w:ascii="Arial" w:hAnsi="Arial" w:cs="Arial"/>
          <w:color w:val="181F26"/>
          <w:spacing w:val="0"/>
          <w:sz w:val="29"/>
          <w:szCs w:val="29"/>
        </w:rPr>
        <w:t xml:space="preserve">, </w:t>
      </w:r>
      <w:r>
        <w:rPr>
          <w:rFonts w:ascii="Menlo" w:hAnsi="Menlo" w:cs="Menlo"/>
          <w:color w:val="181F26"/>
          <w:spacing w:val="0"/>
          <w:sz w:val="24"/>
          <w:szCs w:val="24"/>
        </w:rPr>
        <w:t>NEUTRAL</w:t>
      </w:r>
      <w:r>
        <w:rPr>
          <w:rFonts w:ascii="Arial" w:hAnsi="Arial" w:cs="Arial"/>
          <w:color w:val="181F26"/>
          <w:spacing w:val="0"/>
          <w:sz w:val="29"/>
          <w:szCs w:val="29"/>
        </w:rPr>
        <w:t xml:space="preserve"> ou </w:t>
      </w:r>
      <w:r>
        <w:rPr>
          <w:rFonts w:ascii="Menlo" w:hAnsi="Menlo" w:cs="Menlo"/>
          <w:color w:val="181F26"/>
          <w:spacing w:val="0"/>
          <w:sz w:val="24"/>
          <w:szCs w:val="24"/>
        </w:rPr>
        <w:t>UNCERTAIN</w:t>
      </w:r>
      <w:r>
        <w:rPr>
          <w:rFonts w:ascii="Arial" w:hAnsi="Arial" w:cs="Arial"/>
          <w:color w:val="181F26"/>
          <w:spacing w:val="0"/>
          <w:sz w:val="29"/>
          <w:szCs w:val="29"/>
        </w:rPr>
        <w:t>. A resposta conserva justificativa, modelo, confiança textual, trecho literal, seção, página e identificador.</w:t>
      </w:r>
    </w:p>
    <w:p w14:paraId="16C611DD">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A classe “apoia” poderia ser indevidamente interpretada como “a alegação é verdadeira”. Além disso, modelos podem produzir citações inexistentes ou relacionar um trecho correto ao estudo errado.</w:t>
      </w:r>
    </w:p>
    <w:p w14:paraId="1DF7EBF5">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A confiança passou a significar apenas segurança da classificação textual. Relações diretas sem citação literal localizada são automaticamente invalidadas e rebaixadas para </w:t>
      </w:r>
      <w:r>
        <w:rPr>
          <w:rFonts w:ascii="Menlo" w:hAnsi="Menlo" w:cs="Menlo"/>
          <w:color w:val="181F26"/>
          <w:spacing w:val="0"/>
          <w:sz w:val="24"/>
          <w:szCs w:val="24"/>
        </w:rPr>
        <w:t>UNCERTAIN</w:t>
      </w:r>
      <w:r>
        <w:rPr>
          <w:rFonts w:ascii="Arial" w:hAnsi="Arial" w:cs="Arial"/>
          <w:color w:val="181F26"/>
          <w:spacing w:val="0"/>
          <w:sz w:val="29"/>
          <w:szCs w:val="29"/>
        </w:rPr>
        <w:t>.</w:t>
      </w:r>
    </w:p>
    <w:p w14:paraId="14291AD9">
      <w:pPr>
        <w:spacing w:after="160"/>
      </w:pPr>
      <w:r>
        <w:rPr>
          <w:rFonts w:ascii="Arial" w:hAnsi="Arial" w:cs="Arial"/>
          <w:b/>
          <w:bCs/>
          <w:color w:val="1C3F35"/>
          <w:spacing w:val="0"/>
          <w:sz w:val="34"/>
          <w:szCs w:val="34"/>
        </w:rPr>
        <w:t>Etapa 6 — Síntese por artigo e segurança científica</w:t>
      </w:r>
    </w:p>
    <w:p w14:paraId="72F09B3A">
      <w:pPr>
        <w:spacing w:after="213"/>
        <w:jc w:val="both"/>
      </w:pPr>
      <w:r>
        <w:rPr>
          <w:rFonts w:ascii="Arial" w:hAnsi="Arial" w:cs="Arial"/>
          <w:b/>
          <w:bCs/>
          <w:color w:val="143A2E"/>
          <w:spacing w:val="0"/>
          <w:sz w:val="29"/>
          <w:szCs w:val="29"/>
        </w:rPr>
        <w:t>Dificuldade: 5/5</w:t>
      </w:r>
      <w:r>
        <w:rPr>
          <w:rFonts w:ascii="Arial" w:hAnsi="Arial" w:cs="Arial"/>
          <w:color w:val="181F26"/>
          <w:spacing w:val="0"/>
          <w:sz w:val="29"/>
        </w:rPr>
      </w:r>
    </w:p>
    <w:p w14:paraId="4BEC745A">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As evidências são primeiro agregadas dentro de cada artigo e somente depois combinadas no corpus. Artigos retratados não recebem peso; estudos com evidência exclusivamente incerta não sustentam conclusão; conflitos são preservados.</w:t>
      </w:r>
    </w:p>
    <w:p w14:paraId="337A1B4A">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Contar trechos como votos supervaloriza artigos longos e repetições internas. Contar artigos sem considerar desenho ou independência também cria falsa robustez.</w:t>
      </w:r>
    </w:p>
    <w:p w14:paraId="35C2C413">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A unidade primária de agregação tornou-se o artigo. Estudos da mesma população dividem peso, e o artigo submetido não é contado como confirmação independente de si mesmo.</w:t>
      </w:r>
    </w:p>
    <w:p w14:paraId="47A52DEF">
      <w:pPr>
        <w:spacing w:after="160"/>
      </w:pPr>
      <w:r>
        <w:rPr>
          <w:rFonts w:ascii="Arial" w:hAnsi="Arial" w:cs="Arial"/>
          <w:b/>
          <w:bCs/>
          <w:color w:val="1C3F35"/>
          <w:spacing w:val="0"/>
          <w:sz w:val="34"/>
          <w:szCs w:val="34"/>
        </w:rPr>
        <w:t>Etapa 7 — Qualidade, retratação, AMSTAR 2 e explicabilidade</w:t>
      </w:r>
    </w:p>
    <w:p w14:paraId="5B9B49AC">
      <w:pPr>
        <w:spacing w:after="213"/>
        <w:jc w:val="both"/>
      </w:pPr>
      <w:r>
        <w:rPr>
          <w:rFonts w:ascii="Arial" w:hAnsi="Arial" w:cs="Arial"/>
          <w:b/>
          <w:bCs/>
          <w:color w:val="143A2E"/>
          <w:spacing w:val="0"/>
          <w:sz w:val="29"/>
          <w:szCs w:val="29"/>
        </w:rPr>
        <w:t>Dificuldade: 5/5</w:t>
      </w:r>
      <w:r>
        <w:rPr>
          <w:rFonts w:ascii="Arial" w:hAnsi="Arial" w:cs="Arial"/>
          <w:color w:val="181F26"/>
          <w:spacing w:val="0"/>
          <w:sz w:val="29"/>
        </w:rPr>
      </w:r>
    </w:p>
    <w:p w14:paraId="23B9B673">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Foram adicionados desenho do estudo, retratação, protocolo, disponibilidade de dados, AMSTAR 2 para revisões e geração de relatório explicável.</w:t>
      </w:r>
    </w:p>
    <w:p w14:paraId="36AFC87E">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Qualidade metodológica não pode ser reduzida a uma pontuação única. Instrumentos como AMSTAR 2, RoB 2, ROBINS-I e GRADE têm regras próprias, dependem do desenho e normalmente exigem revisão humana.</w:t>
      </w:r>
    </w:p>
    <w:p w14:paraId="4CF4B0A9">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O sistema abandonou a ideia de “nota universal de qualidade”. Falhas críticas e incertezas são categóricas e explicadas. Na versão atual, a avaliação automática é rotulada como </w:t>
      </w:r>
      <w:r>
        <w:rPr>
          <w:rFonts w:ascii="Arial" w:hAnsi="Arial" w:cs="Arial"/>
          <w:i/>
          <w:iCs/>
          <w:color w:val="181F26"/>
          <w:spacing w:val="0"/>
          <w:sz w:val="29"/>
          <w:szCs w:val="29"/>
        </w:rPr>
        <w:t>triagem metodológica</w:t>
      </w:r>
      <w:r>
        <w:rPr>
          <w:rFonts w:ascii="Arial" w:hAnsi="Arial" w:cs="Arial"/>
          <w:color w:val="181F26"/>
          <w:spacing w:val="0"/>
          <w:sz w:val="29"/>
          <w:szCs w:val="29"/>
        </w:rPr>
        <w:t>, não aplicação formal validada.</w:t>
      </w:r>
    </w:p>
    <w:p w14:paraId="567819E8">
      <w:pPr>
        <w:spacing w:after="160"/>
      </w:pPr>
      <w:r>
        <w:rPr>
          <w:rFonts w:ascii="Arial" w:hAnsi="Arial" w:cs="Arial"/>
          <w:b/>
          <w:bCs/>
          <w:color w:val="1C3F35"/>
          <w:spacing w:val="0"/>
          <w:sz w:val="34"/>
          <w:szCs w:val="34"/>
        </w:rPr>
        <w:t>Etapa 8 — Orquestração multiartigo e API assíncrona</w:t>
      </w:r>
    </w:p>
    <w:p w14:paraId="0251EA46">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342ECA92">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pipeline foi encapsulado em serviços Python e exposto por API Flask. Jobs passaram a ser processados em background, com polling, progresso, erros seguros e persistência.</w:t>
      </w:r>
    </w:p>
    <w:p w14:paraId="550236CA">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Uma análise pode levar dezenas ou centenas de segundos. Executá-la na requisição bloquearia o servidor. Também foi necessário garantir transições válidas e impedir que exceções internas ou segredos fossem expostos.</w:t>
      </w:r>
    </w:p>
    <w:p w14:paraId="797F9BC2">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O resultado passou a registrar o estado da execução e suas falhas. “Não foi possível analisar” tornou-se diferente de “não existe evidência”.</w:t>
      </w:r>
    </w:p>
    <w:p w14:paraId="11DA674F">
      <w:pPr>
        <w:spacing w:after="160"/>
      </w:pPr>
      <w:r>
        <w:rPr>
          <w:rFonts w:ascii="Arial" w:hAnsi="Arial" w:cs="Arial"/>
          <w:b/>
          <w:bCs/>
          <w:color w:val="1C3F35"/>
          <w:spacing w:val="0"/>
          <w:sz w:val="34"/>
          <w:szCs w:val="34"/>
        </w:rPr>
        <w:t>Etapa 9 — Pesquisa adversarial e regras de abstenção</w:t>
      </w:r>
    </w:p>
    <w:p w14:paraId="3B1771CF">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1163140F">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Foram modelados papéis de pesquisador, crítico e árbitro determinístico. O árbitro verifica proveniência e impede a promoção de relatórios insuficientes.</w:t>
      </w:r>
    </w:p>
    <w:p w14:paraId="2E36B38E">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Uma segunda chamada de IA não valida automaticamente a primeira. Sem regras determinísticas, múltiplos agentes podem apenas repetir o mesmo erro.</w:t>
      </w:r>
    </w:p>
    <w:p w14:paraId="14EE69C3">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A crítica passou a ser evidência de revisão, não prova de correção. A decisão final de aceitar citações e promover uma conclusão fica sujeita a regras verificáveis.</w:t>
      </w:r>
    </w:p>
    <w:p w14:paraId="2F325A95">
      <w:pPr>
        <w:spacing w:after="160"/>
      </w:pPr>
      <w:r>
        <w:rPr>
          <w:rFonts w:ascii="Arial" w:hAnsi="Arial" w:cs="Arial"/>
          <w:b/>
          <w:bCs/>
          <w:color w:val="1C3F35"/>
          <w:spacing w:val="0"/>
          <w:sz w:val="34"/>
          <w:szCs w:val="34"/>
        </w:rPr>
        <w:t>Etapa 10 — Busca federada e posterior redução para PubMed-only</w:t>
      </w:r>
    </w:p>
    <w:p w14:paraId="7852B085">
      <w:pPr>
        <w:spacing w:after="213"/>
        <w:jc w:val="both"/>
      </w:pPr>
      <w:r>
        <w:rPr>
          <w:rFonts w:ascii="Arial" w:hAnsi="Arial" w:cs="Arial"/>
          <w:b/>
          <w:bCs/>
          <w:color w:val="143A2E"/>
          <w:spacing w:val="0"/>
          <w:sz w:val="29"/>
          <w:szCs w:val="29"/>
        </w:rPr>
        <w:t>Dificuldade: 5/5</w:t>
      </w:r>
      <w:r>
        <w:rPr>
          <w:rFonts w:ascii="Arial" w:hAnsi="Arial" w:cs="Arial"/>
          <w:color w:val="181F26"/>
          <w:spacing w:val="0"/>
          <w:sz w:val="29"/>
        </w:rPr>
      </w:r>
    </w:p>
    <w:p w14:paraId="0E27613F">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projeto chegou a integrar PubMed, OpenAlex, SciELO via OpenAlex, Europe PMC e fontes auxiliares. Foram criadas normalização, deduplicação por DOI/PMID/metadados e proveniência por fonte.</w:t>
      </w:r>
    </w:p>
    <w:p w14:paraId="571DBEBD">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Cada base tem cobertura, licenças, esquemas e disponibilidade diferentes. Mesclar resultados aumenta recall, mas também ruído, duplicidade e dificuldade de reprodução.</w:t>
      </w:r>
    </w:p>
    <w:p w14:paraId="6BBE29CF">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Para o MVP de demonstração, o runtime foi reduzido ao ecossistema PubMed/PMC. A decisão trocou amplitude por reprodutibilidade, clareza de proveniência e menor superfície de falhas. Os conectores históricos foram preservados no código para evolução futura.</w:t>
      </w:r>
    </w:p>
    <w:p w14:paraId="2D755CD7">
      <w:pPr>
        <w:spacing w:after="160"/>
      </w:pPr>
      <w:r>
        <w:rPr>
          <w:rFonts w:ascii="Arial" w:hAnsi="Arial" w:cs="Arial"/>
          <w:b/>
          <w:bCs/>
          <w:color w:val="1C3F35"/>
          <w:spacing w:val="0"/>
          <w:sz w:val="34"/>
          <w:szCs w:val="34"/>
        </w:rPr>
        <w:t>Etapa 11 — Ingestão de artigos, PDF e múltiplas alegações</w:t>
      </w:r>
    </w:p>
    <w:p w14:paraId="59B25E1B">
      <w:pPr>
        <w:spacing w:after="213"/>
        <w:jc w:val="both"/>
      </w:pPr>
      <w:r>
        <w:rPr>
          <w:rFonts w:ascii="Arial" w:hAnsi="Arial" w:cs="Arial"/>
          <w:b/>
          <w:bCs/>
          <w:color w:val="143A2E"/>
          <w:spacing w:val="0"/>
          <w:sz w:val="29"/>
          <w:szCs w:val="29"/>
        </w:rPr>
        <w:t>Dificuldade: 5/5</w:t>
      </w:r>
      <w:r>
        <w:rPr>
          <w:rFonts w:ascii="Arial" w:hAnsi="Arial" w:cs="Arial"/>
          <w:color w:val="181F26"/>
          <w:spacing w:val="0"/>
          <w:sz w:val="29"/>
        </w:rPr>
      </w:r>
    </w:p>
    <w:p w14:paraId="084367F5">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backend passou a aceitar PMID, DOI, link PubMed, PDF e imagem. PDFs são processados localmente pelo LiteParse. O artigo é transformado em dossiê e até quatro alegações atômicas, que podem ser editadas e selecionadas antes da investigação.</w:t>
      </w:r>
    </w:p>
    <w:p w14:paraId="306BAEE1">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Documentos digitalizados, PDFs sem camada de texto, páginas mal estruturadas e artigos sem acesso completo exigem caminhos de fallback. Alegações múltiplas não podem compartilhar resultados indiscriminadamente.</w:t>
      </w:r>
    </w:p>
    <w:p w14:paraId="0EC316C8">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Cada alegação tornou-se uma unidade independente de busca, contagem, evidência e conclusão. A seleção humana foi inserida entre leitura e pesquisa para reduzir investigação de afirmações irrelevantes.</w:t>
      </w:r>
    </w:p>
    <w:p w14:paraId="0D47AB18">
      <w:pPr>
        <w:spacing w:after="160"/>
      </w:pPr>
      <w:r>
        <w:rPr>
          <w:rFonts w:ascii="Arial" w:hAnsi="Arial" w:cs="Arial"/>
          <w:b/>
          <w:bCs/>
          <w:color w:val="1C3F35"/>
          <w:spacing w:val="0"/>
          <w:sz w:val="34"/>
          <w:szCs w:val="34"/>
        </w:rPr>
        <w:t>Etapa 12 — Indicadores separados e dossiê determinístico</w:t>
      </w:r>
    </w:p>
    <w:p w14:paraId="1A91D008">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0A03F740">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A interface e o contrato JSON passaram a separar cobertura da busca, compatibilidade das evidências e confiança metodológica. Foi criada uma ficha do artigo com identidade, status editorial, desenho, amostra, protocolo, financiamento, conflitos e dados.</w:t>
      </w:r>
    </w:p>
    <w:p w14:paraId="6AF143A3">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Um percentual geral parecia intuitivo, mas misturava cobertura, concordância e qualidade. Também existia o risco de o modelo preencher campos ausentes com inferências plausíveis.</w:t>
      </w:r>
    </w:p>
    <w:p w14:paraId="40BBA681">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O “índice geral de verdade” foi removido. A classificação do desenho segue precedência determinística: </w:t>
      </w:r>
      <w:r>
        <w:rPr>
          <w:rFonts w:ascii="Menlo" w:hAnsi="Menlo" w:cs="Menlo"/>
          <w:color w:val="181F26"/>
          <w:spacing w:val="0"/>
          <w:sz w:val="24"/>
          <w:szCs w:val="24"/>
        </w:rPr>
        <w:t>PublicationType</w:t>
      </w:r>
      <w:r>
        <w:rPr>
          <w:rFonts w:ascii="Arial" w:hAnsi="Arial" w:cs="Arial"/>
          <w:color w:val="181F26"/>
          <w:spacing w:val="0"/>
          <w:sz w:val="29"/>
          <w:szCs w:val="29"/>
        </w:rPr>
        <w:t xml:space="preserve"> do PubMed, identificador de ensaio, declaração explícita, metadados documentais e somente então fallback do modelo.</w:t>
      </w:r>
    </w:p>
    <w:p w14:paraId="04014E72">
      <w:pPr>
        <w:spacing w:after="160"/>
      </w:pPr>
      <w:r>
        <w:rPr>
          <w:rFonts w:ascii="Arial" w:hAnsi="Arial" w:cs="Arial"/>
          <w:b/>
          <w:bCs/>
          <w:color w:val="1C3F35"/>
          <w:spacing w:val="0"/>
          <w:sz w:val="34"/>
          <w:szCs w:val="34"/>
        </w:rPr>
        <w:t>Etapa 13 — Robustez operacional e triagem metodológica da demonstração</w:t>
      </w:r>
    </w:p>
    <w:p w14:paraId="7A2892DA">
      <w:pPr>
        <w:spacing w:after="213"/>
        <w:jc w:val="both"/>
      </w:pPr>
      <w:r>
        <w:rPr>
          <w:rFonts w:ascii="Arial" w:hAnsi="Arial" w:cs="Arial"/>
          <w:b/>
          <w:bCs/>
          <w:color w:val="143A2E"/>
          <w:spacing w:val="0"/>
          <w:sz w:val="29"/>
          <w:szCs w:val="29"/>
        </w:rPr>
        <w:t>Dificuldade: 4/5</w:t>
      </w:r>
      <w:r>
        <w:rPr>
          <w:rFonts w:ascii="Arial" w:hAnsi="Arial" w:cs="Arial"/>
          <w:color w:val="181F26"/>
          <w:spacing w:val="0"/>
          <w:sz w:val="29"/>
        </w:rPr>
      </w:r>
    </w:p>
    <w:p w14:paraId="38D76934">
      <w:pPr>
        <w:spacing w:after="213"/>
        <w:jc w:val="both"/>
      </w:pPr>
      <w:r>
        <w:rPr>
          <w:rFonts w:ascii="Arial" w:hAnsi="Arial" w:cs="Arial"/>
          <w:b/>
          <w:bCs/>
          <w:color w:val="181F26"/>
          <w:spacing w:val="0"/>
          <w:sz w:val="29"/>
          <w:szCs w:val="29"/>
        </w:rPr>
        <w:t>Implementação.</w:t>
      </w:r>
      <w:r>
        <w:rPr>
          <w:rFonts w:ascii="Arial" w:hAnsi="Arial" w:cs="Arial"/>
          <w:color w:val="181F26"/>
          <w:spacing w:val="0"/>
          <w:sz w:val="29"/>
          <w:szCs w:val="29"/>
        </w:rPr>
        <w:t xml:space="preserve"> O limite HTTP foi ajustado para comportar arquivos de 25 MiB em Base64; conexões SQLite passaram a ser fechadas explicitamente; jobs interrompidos são finalizados após reinício; foi criado endpoint de readiness; e a tradução passou a usar Gemini quando os modelos locais não estão instalados.</w:t>
      </w:r>
    </w:p>
    <w:p w14:paraId="4F91CB9F">
      <w:pPr>
        <w:spacing w:after="213"/>
        <w:jc w:val="both"/>
      </w:pPr>
      <w:r>
        <w:rPr>
          <w:rFonts w:ascii="Arial" w:hAnsi="Arial" w:cs="Arial"/>
          <w:b/>
          <w:bCs/>
          <w:color w:val="181F26"/>
          <w:spacing w:val="0"/>
          <w:sz w:val="29"/>
          <w:szCs w:val="29"/>
        </w:rPr>
        <w:t>Dificuldade.</w:t>
      </w:r>
      <w:r>
        <w:rPr>
          <w:rFonts w:ascii="Arial" w:hAnsi="Arial" w:cs="Arial"/>
          <w:color w:val="181F26"/>
          <w:spacing w:val="0"/>
          <w:sz w:val="29"/>
          <w:szCs w:val="29"/>
        </w:rPr>
        <w:t xml:space="preserve"> A interface anunciava 25 MiB, mas o envelope HTTP aceitava apenas 15 MiB; Base64 amplia o arquivo em cerca de 33%. Os testes também revelaram conexões SQLite não fechadas. No ambiente local, Python 3.14 não possuía os pacotes pesados de tradução, embora o projeto tenha sido definido para Python 3.11.</w:t>
      </w:r>
    </w:p>
    <w:p w14:paraId="1D5D7FE5">
      <w:pPr>
        <w:spacing w:after="213"/>
        <w:jc w:val="both"/>
      </w:pPr>
      <w:r>
        <w:rPr>
          <w:rFonts w:ascii="Arial" w:hAnsi="Arial" w:cs="Arial"/>
          <w:b/>
          <w:bCs/>
          <w:color w:val="181F26"/>
          <w:spacing w:val="0"/>
          <w:sz w:val="29"/>
          <w:szCs w:val="29"/>
        </w:rPr>
        <w:t>Mudança metodológica.</w:t>
      </w:r>
      <w:r>
        <w:rPr>
          <w:rFonts w:ascii="Arial" w:hAnsi="Arial" w:cs="Arial"/>
          <w:color w:val="181F26"/>
          <w:spacing w:val="0"/>
          <w:sz w:val="29"/>
          <w:szCs w:val="29"/>
        </w:rPr>
        <w:t xml:space="preserve"> Para a apresentação, </w:t>
      </w:r>
      <w:r>
        <w:rPr>
          <w:rFonts w:ascii="Menlo" w:hAnsi="Menlo" w:cs="Menlo"/>
          <w:color w:val="181F26"/>
          <w:spacing w:val="0"/>
          <w:sz w:val="24"/>
          <w:szCs w:val="24"/>
        </w:rPr>
        <w:t>ASSESS_METHODOLOGY=true</w:t>
      </w:r>
      <w:r>
        <w:rPr>
          <w:rFonts w:ascii="Arial" w:hAnsi="Arial" w:cs="Arial"/>
          <w:color w:val="181F26"/>
          <w:spacing w:val="0"/>
          <w:sz w:val="29"/>
          <w:szCs w:val="29"/>
        </w:rPr>
        <w:t xml:space="preserve"> ativa comparabilidade PICO, risco de viés por domínio e certeza estimada. A interface usa os termos “triagem automatizada” e “certeza estimada”, preservando o caráter de apoio à revisão.</w:t>
      </w:r>
    </w:p>
    <w:p w14:paraId="7D3CA517">
      <w:r>
        <w:rPr>
          <w:rFonts w:ascii="Arial" w:hAnsi="Arial" w:cs="Arial"/>
          <w:color w:val="181F26"/>
          <w:spacing w:val="0"/>
          <w:sz w:val="29"/>
        </w:rPr>
      </w:r>
    </w:p>
    <w:p w14:paraId="63512D4A">
      <w:pPr>
        <w:spacing w:after="213"/>
      </w:pPr>
      <w:r>
        <w:rPr>
          <w:rFonts w:ascii="Arial" w:hAnsi="Arial" w:cs="Arial"/>
          <w:b/>
          <w:bCs/>
          <w:color w:val="1A4A3A"/>
          <w:spacing w:val="0"/>
          <w:sz w:val="42"/>
          <w:szCs w:val="42"/>
        </w:rPr>
        <w:t>4. Evolução metodológica</w:t>
      </w:r>
    </w:p>
    <w:p w14:paraId="178D846A">
      <w:r>
        <w:rPr>
          <w:rFonts w:ascii="Arial" w:hAnsi="Arial" w:cs="Arial"/>
          <w:b/>
          <w:bCs/>
          <w:color w:val="FFFFFF"/>
          <w:spacing w:val="0"/>
          <w:sz w:val="25"/>
          <w:szCs w:val="25"/>
        </w:rPr>
        <w:t>Questão</w:t>
      </w:r>
    </w:p>
    <w:p w14:paraId="1DCD83D9">
      <w:r>
        <w:rPr>
          <w:rFonts w:ascii="Arial" w:hAnsi="Arial" w:cs="Arial"/>
          <w:b/>
          <w:bCs/>
          <w:color w:val="FFFFFF"/>
          <w:spacing w:val="0"/>
          <w:sz w:val="25"/>
          <w:szCs w:val="25"/>
        </w:rPr>
        <w:t>Abordagem inicial</w:t>
      </w:r>
    </w:p>
    <w:p w14:paraId="79B292EA">
      <w:r>
        <w:rPr>
          <w:rFonts w:ascii="Arial" w:hAnsi="Arial" w:cs="Arial"/>
          <w:b/>
          <w:bCs/>
          <w:color w:val="FFFFFF"/>
          <w:spacing w:val="0"/>
          <w:sz w:val="25"/>
          <w:szCs w:val="25"/>
        </w:rPr>
        <w:t>Abordagem escolhida</w:t>
      </w:r>
    </w:p>
    <w:p w14:paraId="48E581BE">
      <w:r>
        <w:rPr>
          <w:rFonts w:ascii="Arial" w:hAnsi="Arial" w:cs="Arial"/>
          <w:color w:val="181F26"/>
          <w:spacing w:val="0"/>
          <w:sz w:val="25"/>
          <w:szCs w:val="25"/>
        </w:rPr>
        <w:t>Saída principal</w:t>
      </w:r>
    </w:p>
    <w:p w14:paraId="3148772A">
      <w:r>
        <w:rPr>
          <w:rFonts w:ascii="Arial" w:hAnsi="Arial" w:cs="Arial"/>
          <w:color w:val="181F26"/>
          <w:spacing w:val="0"/>
          <w:sz w:val="25"/>
          <w:szCs w:val="25"/>
        </w:rPr>
        <w:t>Classificação próxima de verdadeiro/falso.</w:t>
      </w:r>
    </w:p>
    <w:p w14:paraId="750E2606">
      <w:r>
        <w:rPr>
          <w:rFonts w:ascii="Arial" w:hAnsi="Arial" w:cs="Arial"/>
          <w:color w:val="181F26"/>
          <w:spacing w:val="0"/>
          <w:sz w:val="25"/>
          <w:szCs w:val="25"/>
        </w:rPr>
        <w:t>Compatibilidade, divergência, contexto ou inconclusão.</w:t>
      </w:r>
    </w:p>
    <w:p w14:paraId="2A56CEB2">
      <w:r>
        <w:rPr>
          <w:rFonts w:ascii="Arial" w:hAnsi="Arial" w:cs="Arial"/>
          <w:color w:val="181F26"/>
          <w:spacing w:val="0"/>
          <w:sz w:val="25"/>
          <w:szCs w:val="25"/>
        </w:rPr>
        <w:t>Evitar transformar recuperação textual em juízo de verdade.</w:t>
      </w:r>
    </w:p>
    <w:p w14:paraId="21BC2C24">
      <w:r>
        <w:rPr>
          <w:rFonts w:ascii="Arial" w:hAnsi="Arial" w:cs="Arial"/>
          <w:color w:val="181F26"/>
          <w:spacing w:val="0"/>
          <w:sz w:val="25"/>
          <w:szCs w:val="25"/>
        </w:rPr>
        <w:t>Confiança</w:t>
      </w:r>
    </w:p>
    <w:p w14:paraId="5CC88E46">
      <w:r>
        <w:rPr>
          <w:rFonts w:ascii="Arial" w:hAnsi="Arial" w:cs="Arial"/>
          <w:color w:val="181F26"/>
          <w:spacing w:val="0"/>
          <w:sz w:val="25"/>
          <w:szCs w:val="25"/>
        </w:rPr>
        <w:t>Percentual geral.</w:t>
      </w:r>
    </w:p>
    <w:p w14:paraId="71A2E870">
      <w:r>
        <w:rPr>
          <w:rFonts w:ascii="Arial" w:hAnsi="Arial" w:cs="Arial"/>
          <w:color w:val="181F26"/>
          <w:spacing w:val="0"/>
          <w:sz w:val="25"/>
          <w:szCs w:val="25"/>
        </w:rPr>
        <w:t>Cobertura, compatibilidade e metodologia separadas.</w:t>
      </w:r>
    </w:p>
    <w:p w14:paraId="3127F8D9">
      <w:r>
        <w:rPr>
          <w:rFonts w:ascii="Arial" w:hAnsi="Arial" w:cs="Arial"/>
          <w:color w:val="181F26"/>
          <w:spacing w:val="0"/>
          <w:sz w:val="25"/>
          <w:szCs w:val="25"/>
        </w:rPr>
        <w:t>Evitar falsa precisão e denominadores ocultos.</w:t>
      </w:r>
    </w:p>
    <w:p w14:paraId="68779DF4">
      <w:r>
        <w:rPr>
          <w:rFonts w:ascii="Arial" w:hAnsi="Arial" w:cs="Arial"/>
          <w:color w:val="181F26"/>
          <w:spacing w:val="0"/>
          <w:sz w:val="25"/>
          <w:szCs w:val="25"/>
        </w:rPr>
        <w:t>Unidade de síntese</w:t>
      </w:r>
    </w:p>
    <w:p w14:paraId="1C1FE8F5">
      <w:r>
        <w:rPr>
          <w:rFonts w:ascii="Arial" w:hAnsi="Arial" w:cs="Arial"/>
          <w:color w:val="181F26"/>
          <w:spacing w:val="0"/>
          <w:sz w:val="25"/>
          <w:szCs w:val="25"/>
        </w:rPr>
        <w:t>Trechos como votos.</w:t>
      </w:r>
    </w:p>
    <w:p w14:paraId="3E370AE2">
      <w:r>
        <w:rPr>
          <w:rFonts w:ascii="Arial" w:hAnsi="Arial" w:cs="Arial"/>
          <w:color w:val="181F26"/>
          <w:spacing w:val="0"/>
          <w:sz w:val="25"/>
          <w:szCs w:val="25"/>
        </w:rPr>
        <w:t>Agregação por artigo e depois por corpus.</w:t>
      </w:r>
    </w:p>
    <w:p w14:paraId="2513711F">
      <w:r>
        <w:rPr>
          <w:rFonts w:ascii="Arial" w:hAnsi="Arial" w:cs="Arial"/>
          <w:color w:val="181F26"/>
          <w:spacing w:val="0"/>
          <w:sz w:val="25"/>
          <w:szCs w:val="25"/>
        </w:rPr>
        <w:t>Impedir que um artigo longo domine o resultado.</w:t>
      </w:r>
    </w:p>
    <w:p w14:paraId="5754F83B">
      <w:r>
        <w:rPr>
          <w:rFonts w:ascii="Arial" w:hAnsi="Arial" w:cs="Arial"/>
          <w:color w:val="181F26"/>
          <w:spacing w:val="0"/>
          <w:sz w:val="25"/>
          <w:szCs w:val="25"/>
        </w:rPr>
        <w:t>Texto analisado</w:t>
      </w:r>
    </w:p>
    <w:p w14:paraId="62221F8F">
      <w:r>
        <w:rPr>
          <w:rFonts w:ascii="Arial" w:hAnsi="Arial" w:cs="Arial"/>
          <w:color w:val="181F26"/>
          <w:spacing w:val="0"/>
          <w:sz w:val="25"/>
          <w:szCs w:val="25"/>
        </w:rPr>
        <w:t>Abstract como fonte principal.</w:t>
      </w:r>
    </w:p>
    <w:p w14:paraId="28F996E3">
      <w:r>
        <w:rPr>
          <w:rFonts w:ascii="Arial" w:hAnsi="Arial" w:cs="Arial"/>
          <w:color w:val="181F26"/>
          <w:spacing w:val="0"/>
          <w:sz w:val="25"/>
          <w:szCs w:val="25"/>
        </w:rPr>
        <w:t>Texto completo prioritário; abstract identificado como fallback.</w:t>
      </w:r>
    </w:p>
    <w:p w14:paraId="6EB251BE">
      <w:r>
        <w:rPr>
          <w:rFonts w:ascii="Arial" w:hAnsi="Arial" w:cs="Arial"/>
          <w:color w:val="181F26"/>
          <w:spacing w:val="0"/>
          <w:sz w:val="25"/>
          <w:szCs w:val="25"/>
        </w:rPr>
        <w:t>Melhor contexto e transparência sobre o alcance da leitura.</w:t>
      </w:r>
    </w:p>
    <w:p w14:paraId="77B2256D">
      <w:r>
        <w:rPr>
          <w:rFonts w:ascii="Arial" w:hAnsi="Arial" w:cs="Arial"/>
          <w:color w:val="181F26"/>
          <w:spacing w:val="0"/>
          <w:sz w:val="25"/>
          <w:szCs w:val="25"/>
        </w:rPr>
        <w:t>Citações</w:t>
      </w:r>
    </w:p>
    <w:p w14:paraId="28B590C5">
      <w:r>
        <w:rPr>
          <w:rFonts w:ascii="Arial" w:hAnsi="Arial" w:cs="Arial"/>
          <w:color w:val="181F26"/>
          <w:spacing w:val="0"/>
          <w:sz w:val="25"/>
          <w:szCs w:val="25"/>
        </w:rPr>
        <w:t>Trecho retornado pelo modelo.</w:t>
      </w:r>
    </w:p>
    <w:p w14:paraId="68FA68D5">
      <w:r>
        <w:rPr>
          <w:rFonts w:ascii="Arial" w:hAnsi="Arial" w:cs="Arial"/>
          <w:color w:val="181F26"/>
          <w:spacing w:val="0"/>
          <w:sz w:val="25"/>
          <w:szCs w:val="25"/>
        </w:rPr>
        <w:t>Trecho deve existir literalmente no passage_id indicado.</w:t>
      </w:r>
    </w:p>
    <w:p w14:paraId="2B6D0621">
      <w:r>
        <w:rPr>
          <w:rFonts w:ascii="Arial" w:hAnsi="Arial" w:cs="Arial"/>
          <w:color w:val="181F26"/>
          <w:spacing w:val="0"/>
          <w:sz w:val="25"/>
          <w:szCs w:val="25"/>
        </w:rPr>
        <w:t>Reduzir citações fabricadas ou deslocadas.</w:t>
      </w:r>
    </w:p>
    <w:p w14:paraId="2DD75FCA">
      <w:r>
        <w:rPr>
          <w:rFonts w:ascii="Arial" w:hAnsi="Arial" w:cs="Arial"/>
          <w:color w:val="181F26"/>
          <w:spacing w:val="0"/>
          <w:sz w:val="25"/>
          <w:szCs w:val="25"/>
        </w:rPr>
        <w:t>Qualidade</w:t>
      </w:r>
    </w:p>
    <w:p w14:paraId="139D25CF">
      <w:r>
        <w:rPr>
          <w:rFonts w:ascii="Arial" w:hAnsi="Arial" w:cs="Arial"/>
          <w:color w:val="181F26"/>
          <w:spacing w:val="0"/>
          <w:sz w:val="25"/>
          <w:szCs w:val="25"/>
        </w:rPr>
        <w:t>Nota numérica genérica.</w:t>
      </w:r>
    </w:p>
    <w:p w14:paraId="0762E582">
      <w:r>
        <w:rPr>
          <w:rFonts w:ascii="Arial" w:hAnsi="Arial" w:cs="Arial"/>
          <w:color w:val="181F26"/>
          <w:spacing w:val="0"/>
          <w:sz w:val="25"/>
          <w:szCs w:val="25"/>
        </w:rPr>
        <w:t>Triagem por desenho, PICO, risco de viés, acesso e status editorial.</w:t>
      </w:r>
    </w:p>
    <w:p w14:paraId="1B95CC1D">
      <w:r>
        <w:rPr>
          <w:rFonts w:ascii="Arial" w:hAnsi="Arial" w:cs="Arial"/>
          <w:color w:val="181F26"/>
          <w:spacing w:val="0"/>
          <w:sz w:val="25"/>
          <w:szCs w:val="25"/>
        </w:rPr>
        <w:t>Qualidade é multidimensional e depende do desenho.</w:t>
      </w:r>
    </w:p>
    <w:p w14:paraId="59B0EA1C">
      <w:r>
        <w:rPr>
          <w:rFonts w:ascii="Arial" w:hAnsi="Arial" w:cs="Arial"/>
          <w:color w:val="181F26"/>
          <w:spacing w:val="0"/>
          <w:sz w:val="25"/>
          <w:szCs w:val="25"/>
        </w:rPr>
        <w:t>Evidência duplicada</w:t>
      </w:r>
    </w:p>
    <w:p w14:paraId="4D11D716">
      <w:r>
        <w:rPr>
          <w:rFonts w:ascii="Arial" w:hAnsi="Arial" w:cs="Arial"/>
          <w:color w:val="181F26"/>
          <w:spacing w:val="0"/>
          <w:sz w:val="25"/>
          <w:szCs w:val="25"/>
        </w:rPr>
        <w:t>Cada publicação contava separadamente.</w:t>
      </w:r>
    </w:p>
    <w:p w14:paraId="0339B8DC">
      <w:r>
        <w:rPr>
          <w:rFonts w:ascii="Arial" w:hAnsi="Arial" w:cs="Arial"/>
          <w:color w:val="181F26"/>
          <w:spacing w:val="0"/>
          <w:sz w:val="25"/>
          <w:szCs w:val="25"/>
        </w:rPr>
        <w:t>Mesma coorte/registro divide peso; artigo enviado não confirma a si mesmo.</w:t>
      </w:r>
    </w:p>
    <w:p w14:paraId="42DF7431">
      <w:r>
        <w:rPr>
          <w:rFonts w:ascii="Arial" w:hAnsi="Arial" w:cs="Arial"/>
          <w:color w:val="181F26"/>
          <w:spacing w:val="0"/>
          <w:sz w:val="25"/>
          <w:szCs w:val="25"/>
        </w:rPr>
        <w:t>Evitar dupla contagem e falsa independência.</w:t>
      </w:r>
    </w:p>
    <w:p w14:paraId="2BFA422C">
      <w:r>
        <w:rPr>
          <w:rFonts w:ascii="Arial" w:hAnsi="Arial" w:cs="Arial"/>
          <w:color w:val="181F26"/>
          <w:spacing w:val="0"/>
          <w:sz w:val="25"/>
          <w:szCs w:val="25"/>
        </w:rPr>
        <w:t>Retratação</w:t>
      </w:r>
    </w:p>
    <w:p w14:paraId="2FE6C38A">
      <w:r>
        <w:rPr>
          <w:rFonts w:ascii="Arial" w:hAnsi="Arial" w:cs="Arial"/>
          <w:color w:val="181F26"/>
          <w:spacing w:val="0"/>
          <w:sz w:val="25"/>
          <w:szCs w:val="25"/>
        </w:rPr>
        <w:t>Penalidade numérica.</w:t>
      </w:r>
    </w:p>
    <w:p w14:paraId="4D816A8C">
      <w:r>
        <w:rPr>
          <w:rFonts w:ascii="Arial" w:hAnsi="Arial" w:cs="Arial"/>
          <w:color w:val="181F26"/>
          <w:spacing w:val="0"/>
          <w:sz w:val="25"/>
          <w:szCs w:val="25"/>
        </w:rPr>
        <w:t>Exclusão do peso e alerta crítico.</w:t>
      </w:r>
    </w:p>
    <w:p w14:paraId="671F222E">
      <w:r>
        <w:rPr>
          <w:rFonts w:ascii="Arial" w:hAnsi="Arial" w:cs="Arial"/>
          <w:color w:val="181F26"/>
          <w:spacing w:val="0"/>
          <w:sz w:val="25"/>
          <w:szCs w:val="25"/>
        </w:rPr>
        <w:t>Retratação não deve ser diluída em uma média.</w:t>
      </w:r>
    </w:p>
    <w:p w14:paraId="50BBAD4E">
      <w:r>
        <w:rPr>
          <w:rFonts w:ascii="Arial" w:hAnsi="Arial" w:cs="Arial"/>
          <w:color w:val="181F26"/>
          <w:spacing w:val="0"/>
          <w:sz w:val="25"/>
          <w:szCs w:val="25"/>
        </w:rPr>
        <w:t>Ausência</w:t>
      </w:r>
    </w:p>
    <w:p w14:paraId="31434758">
      <w:r>
        <w:rPr>
          <w:rFonts w:ascii="Arial" w:hAnsi="Arial" w:cs="Arial"/>
          <w:color w:val="181F26"/>
          <w:spacing w:val="0"/>
          <w:sz w:val="25"/>
          <w:szCs w:val="25"/>
        </w:rPr>
        <w:t>“Sem evidência”.</w:t>
      </w:r>
    </w:p>
    <w:p w14:paraId="481F5403">
      <w:r>
        <w:rPr>
          <w:rFonts w:ascii="Arial" w:hAnsi="Arial" w:cs="Arial"/>
          <w:color w:val="181F26"/>
          <w:spacing w:val="0"/>
          <w:sz w:val="25"/>
          <w:szCs w:val="25"/>
        </w:rPr>
        <w:t>Separação entre não encontrado, encontrado mas indireto e análise indisponível.</w:t>
      </w:r>
    </w:p>
    <w:p w14:paraId="4321FFE7">
      <w:r>
        <w:rPr>
          <w:rFonts w:ascii="Arial" w:hAnsi="Arial" w:cs="Arial"/>
          <w:color w:val="181F26"/>
          <w:spacing w:val="0"/>
          <w:sz w:val="25"/>
          <w:szCs w:val="25"/>
        </w:rPr>
        <w:t>Busca limitada não prova inexistência.</w:t>
      </w:r>
    </w:p>
    <w:p w14:paraId="78F2B0B3">
      <w:r>
        <w:rPr>
          <w:rFonts w:ascii="Arial" w:hAnsi="Arial" w:cs="Arial"/>
          <w:color w:val="181F26"/>
          <w:spacing w:val="0"/>
          <w:sz w:val="25"/>
          <w:szCs w:val="25"/>
        </w:rPr>
        <w:t>Fontes</w:t>
      </w:r>
    </w:p>
    <w:p w14:paraId="202D21FC">
      <w:r>
        <w:rPr>
          <w:rFonts w:ascii="Arial" w:hAnsi="Arial" w:cs="Arial"/>
          <w:color w:val="181F26"/>
          <w:spacing w:val="0"/>
          <w:sz w:val="25"/>
          <w:szCs w:val="25"/>
        </w:rPr>
        <w:t>Expansão federada ampla.</w:t>
      </w:r>
    </w:p>
    <w:p w14:paraId="0CD5C818">
      <w:r>
        <w:rPr>
          <w:rFonts w:ascii="Arial" w:hAnsi="Arial" w:cs="Arial"/>
          <w:color w:val="181F26"/>
          <w:spacing w:val="0"/>
          <w:sz w:val="25"/>
          <w:szCs w:val="25"/>
        </w:rPr>
        <w:t>PubMed/PMC no MVP.</w:t>
      </w:r>
    </w:p>
    <w:p w14:paraId="6C856705">
      <w:r>
        <w:rPr>
          <w:rFonts w:ascii="Arial" w:hAnsi="Arial" w:cs="Arial"/>
          <w:color w:val="181F26"/>
          <w:spacing w:val="0"/>
          <w:sz w:val="25"/>
          <w:szCs w:val="25"/>
        </w:rPr>
        <w:t>Reprodutibilidade e clareza para a demonstração.</w:t>
      </w:r>
    </w:p>
    <w:p w14:paraId="4AA7DE7C"/>
    <w:p w14:paraId="2A2ABE7A">
      <w:pPr>
        <w:spacing w:after="160"/>
      </w:pPr>
      <w:r>
        <w:rPr>
          <w:rFonts w:ascii="Arial" w:hAnsi="Arial" w:cs="Arial"/>
          <w:b/>
          <w:bCs/>
          <w:color w:val="1C3F35"/>
          <w:spacing w:val="0"/>
          <w:sz w:val="34"/>
          <w:szCs w:val="34"/>
        </w:rPr>
        <w:t>4.1 Modelo de ponderação</w:t>
      </w:r>
    </w:p>
    <w:p w14:paraId="3E4487A5">
      <w:pPr>
        <w:spacing w:after="213"/>
        <w:jc w:val="both"/>
      </w:pPr>
      <w:r>
        <w:rPr>
          <w:rFonts w:ascii="Arial" w:hAnsi="Arial" w:cs="Arial"/>
          <w:color w:val="181F26"/>
          <w:spacing w:val="0"/>
          <w:sz w:val="29"/>
          <w:szCs w:val="29"/>
        </w:rPr>
        <w:t>Quando a triagem metodológica está ativa, cada estudo recebe peso composto por desenho, comparabilidade PICO, risco de viés, nível de acesso ao conteúdo e situação editorial. A fórmula é multiplicativa: uma limitação grave reduz o peso mesmo que os demais fatores sejam favoráveis. Isso evita que quantidade de artigos seja confundida com força da evidência.</w:t>
      </w:r>
    </w:p>
    <w:p w14:paraId="59F9B4D0">
      <w:pPr>
        <w:spacing w:after="160"/>
      </w:pPr>
      <w:r>
        <w:rPr>
          <w:rFonts w:ascii="Arial" w:hAnsi="Arial" w:cs="Arial"/>
          <w:b/>
          <w:bCs/>
          <w:color w:val="1C3F35"/>
          <w:spacing w:val="0"/>
          <w:sz w:val="34"/>
          <w:szCs w:val="34"/>
        </w:rPr>
        <w:t>4.2 Certeza estimada</w:t>
      </w:r>
    </w:p>
    <w:p w14:paraId="44C0EA81">
      <w:pPr>
        <w:spacing w:after="213"/>
        <w:jc w:val="both"/>
      </w:pPr>
      <w:r>
        <w:rPr>
          <w:rFonts w:ascii="Arial" w:hAnsi="Arial" w:cs="Arial"/>
          <w:color w:val="181F26"/>
          <w:spacing w:val="0"/>
          <w:sz w:val="29"/>
          <w:szCs w:val="29"/>
        </w:rPr>
        <w:t xml:space="preserve">A certeza começa mais alta quando a maior parte do peso vem de ensaios randomizados e mais baixa quando predomina evidência observacional. Pode ser rebaixada por risco de viés alto/incerto, inconsistência, evidência indireta e imprecisão. Trata-se de uma </w:t>
      </w:r>
      <w:r>
        <w:rPr>
          <w:rFonts w:ascii="Arial" w:hAnsi="Arial" w:cs="Arial"/>
          <w:b/>
          <w:bCs/>
          <w:color w:val="181F26"/>
          <w:spacing w:val="0"/>
          <w:sz w:val="29"/>
          <w:szCs w:val="29"/>
        </w:rPr>
        <w:t>aproximação inspirada no GRADE</w:t>
      </w:r>
      <w:r>
        <w:rPr>
          <w:rFonts w:ascii="Arial" w:hAnsi="Arial" w:cs="Arial"/>
          <w:color w:val="181F26"/>
          <w:spacing w:val="0"/>
          <w:sz w:val="29"/>
          <w:szCs w:val="29"/>
        </w:rPr>
        <w:t>, não de uma aplicação formal ou clinicamente validada.</w:t>
      </w:r>
    </w:p>
    <w:p w14:paraId="5112A867">
      <w:pPr>
        <w:spacing w:after="160"/>
      </w:pPr>
      <w:r>
        <w:rPr>
          <w:rFonts w:ascii="Arial" w:hAnsi="Arial" w:cs="Arial"/>
          <w:b/>
          <w:bCs/>
          <w:color w:val="1C3F35"/>
          <w:spacing w:val="0"/>
          <w:sz w:val="34"/>
          <w:szCs w:val="34"/>
        </w:rPr>
        <w:t>4.3 Papel da revisão humana</w:t>
      </w:r>
    </w:p>
    <w:p w14:paraId="4D7DC523">
      <w:pPr>
        <w:spacing w:after="213"/>
        <w:jc w:val="both"/>
      </w:pPr>
      <w:r>
        <w:rPr>
          <w:rFonts w:ascii="Arial" w:hAnsi="Arial" w:cs="Arial"/>
          <w:color w:val="181F26"/>
          <w:spacing w:val="0"/>
          <w:sz w:val="29"/>
          <w:szCs w:val="29"/>
        </w:rPr>
        <w:t>O usuário revisa as alegações extraídas, pode editar o texto e escolhe quais afirmações investigar. Resultados metodológicos devem ser conferidos nos trechos e, em contexto profissional, revisados com os instrumentos adequados ao desenho do estudo.</w:t>
      </w:r>
    </w:p>
    <w:p w14:paraId="286AD85D">
      <w:r>
        <w:rPr>
          <w:rFonts w:ascii="Arial" w:hAnsi="Arial" w:cs="Arial"/>
          <w:color w:val="181F26"/>
          <w:spacing w:val="0"/>
          <w:sz w:val="29"/>
        </w:rPr>
      </w:r>
    </w:p>
    <w:p w14:paraId="08D27752">
      <w:pPr>
        <w:spacing w:after="213"/>
      </w:pPr>
      <w:r>
        <w:rPr>
          <w:rFonts w:ascii="Arial" w:hAnsi="Arial" w:cs="Arial"/>
          <w:b/>
          <w:bCs/>
          <w:color w:val="1A4A3A"/>
          <w:spacing w:val="0"/>
          <w:sz w:val="42"/>
          <w:szCs w:val="42"/>
        </w:rPr>
        <w:t>5. Dificuldades técnicas e soluções adotadas</w:t>
      </w:r>
    </w:p>
    <w:p w14:paraId="337E1904">
      <w:r>
        <w:rPr>
          <w:rFonts w:ascii="Arial" w:hAnsi="Arial" w:cs="Arial"/>
          <w:b/>
          <w:bCs/>
          <w:color w:val="FFFFFF"/>
          <w:spacing w:val="0"/>
          <w:sz w:val="25"/>
          <w:szCs w:val="25"/>
        </w:rPr>
        <w:t>Dificuldade</w:t>
      </w:r>
    </w:p>
    <w:p w14:paraId="64241899">
      <w:r>
        <w:rPr>
          <w:rFonts w:ascii="Arial" w:hAnsi="Arial" w:cs="Arial"/>
          <w:b/>
          <w:bCs/>
          <w:color w:val="FFFFFF"/>
          <w:spacing w:val="0"/>
          <w:sz w:val="25"/>
          <w:szCs w:val="25"/>
        </w:rPr>
        <w:t>Impacto potencialSituação</w:t>
      </w:r>
    </w:p>
    <w:p w14:paraId="2805F8F2">
      <w:r>
        <w:rPr>
          <w:rFonts w:ascii="Arial" w:hAnsi="Arial" w:cs="Arial"/>
          <w:color w:val="181F26"/>
          <w:spacing w:val="0"/>
          <w:sz w:val="25"/>
          <w:szCs w:val="25"/>
        </w:rPr>
        <w:t>Artigo sem texto completo no PMC</w:t>
      </w:r>
    </w:p>
    <w:p w14:paraId="1E5E1DF2">
      <w:r>
        <w:rPr>
          <w:rFonts w:ascii="Arial" w:hAnsi="Arial" w:cs="Arial"/>
          <w:color w:val="181F26"/>
          <w:spacing w:val="0"/>
          <w:sz w:val="25"/>
          <w:szCs w:val="25"/>
        </w:rPr>
        <w:t>Análise incompleta ou falha de ingestão.</w:t>
      </w:r>
    </w:p>
    <w:p w14:paraId="7096B207">
      <w:r>
        <w:rPr>
          <w:rFonts w:ascii="Arial" w:hAnsi="Arial" w:cs="Arial"/>
          <w:color w:val="181F26"/>
          <w:spacing w:val="0"/>
          <w:sz w:val="25"/>
          <w:szCs w:val="25"/>
        </w:rPr>
        <w:t>Abstract identificado como fallback e opção de envio do PDF.</w:t>
      </w:r>
    </w:p>
    <w:p w14:paraId="57CC0A19">
      <w:r>
        <w:rPr>
          <w:rFonts w:ascii="Arial" w:hAnsi="Arial" w:cs="Arial"/>
          <w:color w:val="181F26"/>
          <w:spacing w:val="0"/>
          <w:sz w:val="25"/>
          <w:szCs w:val="25"/>
        </w:rPr>
        <w:t>Mitigado, não eliminado.</w:t>
      </w:r>
    </w:p>
    <w:p w14:paraId="72C9443F">
      <w:r>
        <w:rPr>
          <w:rFonts w:ascii="Arial" w:hAnsi="Arial" w:cs="Arial"/>
          <w:color w:val="181F26"/>
          <w:spacing w:val="0"/>
          <w:sz w:val="25"/>
          <w:szCs w:val="25"/>
        </w:rPr>
        <w:t>Heterogeneidade das fontes</w:t>
      </w:r>
    </w:p>
    <w:p w14:paraId="25A83D8D">
      <w:r>
        <w:rPr>
          <w:rFonts w:ascii="Arial" w:hAnsi="Arial" w:cs="Arial"/>
          <w:color w:val="181F26"/>
          <w:spacing w:val="0"/>
          <w:sz w:val="25"/>
          <w:szCs w:val="25"/>
        </w:rPr>
        <w:t>Campos ausentes, duplicidade e erros de identidade.</w:t>
      </w:r>
    </w:p>
    <w:p w14:paraId="52B5CEDD">
      <w:r>
        <w:rPr>
          <w:rFonts w:ascii="Arial" w:hAnsi="Arial" w:cs="Arial"/>
          <w:color w:val="181F26"/>
          <w:spacing w:val="0"/>
          <w:sz w:val="25"/>
          <w:szCs w:val="25"/>
        </w:rPr>
        <w:t>Normalização, chaves DOI/PMID e proveniência por fonte.</w:t>
      </w:r>
    </w:p>
    <w:p w14:paraId="721C7AAA">
      <w:r>
        <w:rPr>
          <w:rFonts w:ascii="Arial" w:hAnsi="Arial" w:cs="Arial"/>
          <w:color w:val="181F26"/>
          <w:spacing w:val="0"/>
          <w:sz w:val="25"/>
          <w:szCs w:val="25"/>
        </w:rPr>
        <w:t>Controlado no escopo PubMed-only.</w:t>
      </w:r>
    </w:p>
    <w:p w14:paraId="0C67D929">
      <w:r>
        <w:rPr>
          <w:rFonts w:ascii="Arial" w:hAnsi="Arial" w:cs="Arial"/>
          <w:color w:val="181F26"/>
          <w:spacing w:val="0"/>
          <w:sz w:val="25"/>
          <w:szCs w:val="25"/>
        </w:rPr>
        <w:t>Citação não localizada</w:t>
      </w:r>
    </w:p>
    <w:p w14:paraId="67DEF109">
      <w:r>
        <w:rPr>
          <w:rFonts w:ascii="Arial" w:hAnsi="Arial" w:cs="Arial"/>
          <w:color w:val="181F26"/>
          <w:spacing w:val="0"/>
          <w:sz w:val="25"/>
          <w:szCs w:val="25"/>
        </w:rPr>
        <w:t>Conclusão baseada em texto inexistente.</w:t>
      </w:r>
    </w:p>
    <w:p w14:paraId="26AC78FD">
      <w:r>
        <w:rPr>
          <w:rFonts w:ascii="Arial" w:hAnsi="Arial" w:cs="Arial"/>
          <w:color w:val="181F26"/>
          <w:spacing w:val="0"/>
          <w:sz w:val="25"/>
          <w:szCs w:val="25"/>
        </w:rPr>
        <w:t>Validação literal contra o passage_id; rebaixamento para incerto.</w:t>
      </w:r>
    </w:p>
    <w:p w14:paraId="41C183BC">
      <w:r>
        <w:rPr>
          <w:rFonts w:ascii="Arial" w:hAnsi="Arial" w:cs="Arial"/>
          <w:color w:val="181F26"/>
          <w:spacing w:val="0"/>
          <w:sz w:val="25"/>
          <w:szCs w:val="25"/>
        </w:rPr>
        <w:t>Implementado.</w:t>
      </w:r>
    </w:p>
    <w:p w14:paraId="21B9965F">
      <w:r>
        <w:rPr>
          <w:rFonts w:ascii="Arial" w:hAnsi="Arial" w:cs="Arial"/>
          <w:color w:val="181F26"/>
          <w:spacing w:val="0"/>
          <w:sz w:val="25"/>
          <w:szCs w:val="25"/>
        </w:rPr>
        <w:t>Tradução português–inglês</w:t>
      </w:r>
    </w:p>
    <w:p w14:paraId="06881B81">
      <w:r>
        <w:rPr>
          <w:rFonts w:ascii="Arial" w:hAnsi="Arial" w:cs="Arial"/>
          <w:color w:val="181F26"/>
          <w:spacing w:val="0"/>
          <w:sz w:val="25"/>
          <w:szCs w:val="25"/>
        </w:rPr>
        <w:t>Baixo recall no PubMed.</w:t>
      </w:r>
    </w:p>
    <w:p w14:paraId="15387EDD">
      <w:r>
        <w:rPr>
          <w:rFonts w:ascii="Arial" w:hAnsi="Arial" w:cs="Arial"/>
          <w:color w:val="181F26"/>
          <w:spacing w:val="0"/>
          <w:sz w:val="25"/>
          <w:szCs w:val="25"/>
        </w:rPr>
        <w:t>Modelo local preferido; Gemini como fallback; consulta original preservada.</w:t>
      </w:r>
    </w:p>
    <w:p w14:paraId="33D164E9">
      <w:r>
        <w:rPr>
          <w:rFonts w:ascii="Arial" w:hAnsi="Arial" w:cs="Arial"/>
          <w:color w:val="181F26"/>
          <w:spacing w:val="0"/>
          <w:sz w:val="25"/>
          <w:szCs w:val="25"/>
        </w:rPr>
        <w:t>Implementado.</w:t>
      </w:r>
    </w:p>
    <w:p w14:paraId="2F58429A">
      <w:r>
        <w:rPr>
          <w:rFonts w:ascii="Arial" w:hAnsi="Arial" w:cs="Arial"/>
          <w:color w:val="181F26"/>
          <w:spacing w:val="0"/>
          <w:sz w:val="25"/>
          <w:szCs w:val="25"/>
        </w:rPr>
        <w:t>Tempo de processamento</w:t>
      </w:r>
    </w:p>
    <w:p w14:paraId="26912D1D">
      <w:r>
        <w:rPr>
          <w:rFonts w:ascii="Arial" w:hAnsi="Arial" w:cs="Arial"/>
          <w:color w:val="181F26"/>
          <w:spacing w:val="0"/>
          <w:sz w:val="25"/>
          <w:szCs w:val="25"/>
        </w:rPr>
        <w:t>Timeout e interface bloqueada.</w:t>
      </w:r>
    </w:p>
    <w:p w14:paraId="1B8DFCB3">
      <w:r>
        <w:rPr>
          <w:rFonts w:ascii="Arial" w:hAnsi="Arial" w:cs="Arial"/>
          <w:color w:val="181F26"/>
          <w:spacing w:val="0"/>
          <w:sz w:val="25"/>
          <w:szCs w:val="25"/>
        </w:rPr>
        <w:t>Jobs assíncronos, polling e dois workers internos.</w:t>
      </w:r>
    </w:p>
    <w:p w14:paraId="65FAC5D3">
      <w:r>
        <w:rPr>
          <w:rFonts w:ascii="Arial" w:hAnsi="Arial" w:cs="Arial"/>
          <w:color w:val="181F26"/>
          <w:spacing w:val="0"/>
          <w:sz w:val="25"/>
          <w:szCs w:val="25"/>
        </w:rPr>
        <w:t>Adequado à demonstração.</w:t>
      </w:r>
    </w:p>
    <w:p w14:paraId="64A0A8DE">
      <w:r>
        <w:rPr>
          <w:rFonts w:ascii="Arial" w:hAnsi="Arial" w:cs="Arial"/>
          <w:color w:val="181F26"/>
          <w:spacing w:val="0"/>
          <w:sz w:val="25"/>
          <w:szCs w:val="25"/>
        </w:rPr>
        <w:t>Queda durante um job</w:t>
      </w:r>
    </w:p>
    <w:p w14:paraId="6C739D6C">
      <w:r>
        <w:rPr>
          <w:rFonts w:ascii="Arial" w:hAnsi="Arial" w:cs="Arial"/>
          <w:color w:val="181F26"/>
          <w:spacing w:val="0"/>
          <w:sz w:val="25"/>
          <w:szCs w:val="25"/>
        </w:rPr>
        <w:t>Status eternamente em execução.</w:t>
      </w:r>
    </w:p>
    <w:p w14:paraId="795A0521">
      <w:r>
        <w:rPr>
          <w:rFonts w:ascii="Arial" w:hAnsi="Arial" w:cs="Arial"/>
          <w:color w:val="181F26"/>
          <w:spacing w:val="0"/>
          <w:sz w:val="25"/>
          <w:szCs w:val="25"/>
        </w:rPr>
        <w:t>Jobs interrompidos viram falha recuperável no startup.</w:t>
      </w:r>
    </w:p>
    <w:p w14:paraId="374C112B">
      <w:r>
        <w:rPr>
          <w:rFonts w:ascii="Arial" w:hAnsi="Arial" w:cs="Arial"/>
          <w:color w:val="181F26"/>
          <w:spacing w:val="0"/>
          <w:sz w:val="25"/>
          <w:szCs w:val="25"/>
        </w:rPr>
        <w:t>Implementado.</w:t>
      </w:r>
    </w:p>
    <w:p w14:paraId="0EE182B5">
      <w:r>
        <w:rPr>
          <w:rFonts w:ascii="Arial" w:hAnsi="Arial" w:cs="Arial"/>
          <w:color w:val="181F26"/>
          <w:spacing w:val="0"/>
          <w:sz w:val="25"/>
          <w:szCs w:val="25"/>
        </w:rPr>
        <w:t>Conexões SQLite abertas</w:t>
      </w:r>
    </w:p>
    <w:p w14:paraId="7D66FB78">
      <w:r>
        <w:rPr>
          <w:rFonts w:ascii="Arial" w:hAnsi="Arial" w:cs="Arial"/>
          <w:color w:val="181F26"/>
          <w:spacing w:val="0"/>
          <w:sz w:val="25"/>
          <w:szCs w:val="25"/>
        </w:rPr>
        <w:t>Vazamento de recursos em execução prolongada.</w:t>
      </w:r>
    </w:p>
    <w:p w14:paraId="10C6426B">
      <w:r>
        <w:rPr>
          <w:rFonts w:ascii="Arial" w:hAnsi="Arial" w:cs="Arial"/>
          <w:color w:val="181F26"/>
          <w:spacing w:val="0"/>
          <w:sz w:val="25"/>
          <w:szCs w:val="25"/>
        </w:rPr>
        <w:t>Context manager que fecha explicitamente cada conexão.</w:t>
      </w:r>
    </w:p>
    <w:p w14:paraId="4EA5E34E">
      <w:r>
        <w:rPr>
          <w:rFonts w:ascii="Arial" w:hAnsi="Arial" w:cs="Arial"/>
          <w:color w:val="181F26"/>
          <w:spacing w:val="0"/>
          <w:sz w:val="25"/>
          <w:szCs w:val="25"/>
        </w:rPr>
        <w:t>Corrigido.</w:t>
      </w:r>
    </w:p>
    <w:p w14:paraId="26904DF4">
      <w:r>
        <w:rPr>
          <w:rFonts w:ascii="Arial" w:hAnsi="Arial" w:cs="Arial"/>
          <w:color w:val="181F26"/>
          <w:spacing w:val="0"/>
          <w:sz w:val="25"/>
          <w:szCs w:val="25"/>
        </w:rPr>
        <w:t>Upload Base64</w:t>
      </w:r>
    </w:p>
    <w:p w14:paraId="7F1CBA8F">
      <w:r>
        <w:rPr>
          <w:rFonts w:ascii="Arial" w:hAnsi="Arial" w:cs="Arial"/>
          <w:color w:val="181F26"/>
          <w:spacing w:val="0"/>
          <w:sz w:val="25"/>
          <w:szCs w:val="25"/>
        </w:rPr>
        <w:t>Arquivo abaixo do limite visual rejeitado pelo servidor.</w:t>
      </w:r>
    </w:p>
    <w:p w14:paraId="5E0B122B">
      <w:r>
        <w:rPr>
          <w:rFonts w:ascii="Arial" w:hAnsi="Arial" w:cs="Arial"/>
          <w:color w:val="181F26"/>
          <w:spacing w:val="0"/>
          <w:sz w:val="25"/>
          <w:szCs w:val="25"/>
        </w:rPr>
        <w:t>Envelope HTTP de 36 MiB para arquivo bruto de 25 MiB.</w:t>
      </w:r>
    </w:p>
    <w:p w14:paraId="2698D148">
      <w:r>
        <w:rPr>
          <w:rFonts w:ascii="Arial" w:hAnsi="Arial" w:cs="Arial"/>
          <w:color w:val="181F26"/>
          <w:spacing w:val="0"/>
          <w:sz w:val="25"/>
          <w:szCs w:val="25"/>
        </w:rPr>
        <w:t>Corrigido.</w:t>
      </w:r>
    </w:p>
    <w:p w14:paraId="3E6DCA3C">
      <w:r>
        <w:rPr>
          <w:rFonts w:ascii="Arial" w:hAnsi="Arial" w:cs="Arial"/>
          <w:color w:val="181F26"/>
          <w:spacing w:val="0"/>
          <w:sz w:val="25"/>
          <w:szCs w:val="25"/>
        </w:rPr>
        <w:t>Erro externo ou resposta parcial</w:t>
      </w:r>
    </w:p>
    <w:p w14:paraId="7C20E05B">
      <w:r>
        <w:rPr>
          <w:rFonts w:ascii="Arial" w:hAnsi="Arial" w:cs="Arial"/>
          <w:color w:val="181F26"/>
          <w:spacing w:val="0"/>
          <w:sz w:val="25"/>
          <w:szCs w:val="25"/>
        </w:rPr>
        <w:t>Interrupção completa da análise.</w:t>
      </w:r>
    </w:p>
    <w:p w14:paraId="1F3E0D4D">
      <w:r>
        <w:rPr>
          <w:rFonts w:ascii="Arial" w:hAnsi="Arial" w:cs="Arial"/>
          <w:color w:val="181F26"/>
          <w:spacing w:val="0"/>
          <w:sz w:val="25"/>
          <w:szCs w:val="25"/>
        </w:rPr>
        <w:t>Timeouts, tentativas, isolamento por etapa e erros seguros.</w:t>
      </w:r>
    </w:p>
    <w:p w14:paraId="34C30CF2">
      <w:r>
        <w:rPr>
          <w:rFonts w:ascii="Arial" w:hAnsi="Arial" w:cs="Arial"/>
          <w:color w:val="181F26"/>
          <w:spacing w:val="0"/>
          <w:sz w:val="25"/>
          <w:szCs w:val="25"/>
        </w:rPr>
        <w:t>Implementado.</w:t>
      </w:r>
    </w:p>
    <w:p w14:paraId="7C833395">
      <w:r>
        <w:rPr>
          <w:rFonts w:ascii="Arial" w:hAnsi="Arial" w:cs="Arial"/>
          <w:color w:val="181F26"/>
          <w:spacing w:val="0"/>
          <w:sz w:val="25"/>
          <w:szCs w:val="25"/>
        </w:rPr>
        <w:t>Falsa confiança metodológica</w:t>
      </w:r>
    </w:p>
    <w:p w14:paraId="51510A46">
      <w:r>
        <w:rPr>
          <w:rFonts w:ascii="Arial" w:hAnsi="Arial" w:cs="Arial"/>
          <w:color w:val="181F26"/>
          <w:spacing w:val="0"/>
          <w:sz w:val="25"/>
          <w:szCs w:val="25"/>
        </w:rPr>
        <w:t>Uso clínico indevido.</w:t>
      </w:r>
    </w:p>
    <w:p w14:paraId="6DFE11B0">
      <w:r>
        <w:rPr>
          <w:rFonts w:ascii="Arial" w:hAnsi="Arial" w:cs="Arial"/>
          <w:color w:val="181F26"/>
          <w:spacing w:val="0"/>
          <w:sz w:val="25"/>
          <w:szCs w:val="25"/>
        </w:rPr>
        <w:t>Rótulos de triagem, certeza estimada, motivos e limitações explícitas.</w:t>
      </w:r>
    </w:p>
    <w:p w14:paraId="3D01B680">
      <w:r>
        <w:rPr>
          <w:rFonts w:ascii="Arial" w:hAnsi="Arial" w:cs="Arial"/>
          <w:color w:val="181F26"/>
          <w:spacing w:val="0"/>
          <w:sz w:val="25"/>
          <w:szCs w:val="25"/>
        </w:rPr>
        <w:t>Mitigado; requer validação humana.</w:t>
      </w:r>
    </w:p>
    <w:p w14:paraId="21404D83"/>
    <w:p w14:paraId="2846110C">
      <w:pPr>
        <w:spacing w:after="213"/>
      </w:pPr>
      <w:r>
        <w:rPr>
          <w:rFonts w:ascii="Arial" w:hAnsi="Arial" w:cs="Arial"/>
          <w:b/>
          <w:bCs/>
          <w:color w:val="1A4A3A"/>
          <w:spacing w:val="0"/>
          <w:sz w:val="42"/>
          <w:szCs w:val="42"/>
        </w:rPr>
        <w:t>6. Validação, testes e observabilidade</w:t>
      </w:r>
    </w:p>
    <w:p w14:paraId="2A162176">
      <w:pPr>
        <w:spacing w:after="160"/>
      </w:pPr>
      <w:r>
        <w:rPr>
          <w:rFonts w:ascii="Arial" w:hAnsi="Arial" w:cs="Arial"/>
          <w:b/>
          <w:bCs/>
          <w:color w:val="1C3F35"/>
          <w:spacing w:val="0"/>
          <w:sz w:val="34"/>
          <w:szCs w:val="34"/>
        </w:rPr>
        <w:t>6.1 Testes automatizados</w:t>
      </w:r>
    </w:p>
    <w:p w14:paraId="07788DB1">
      <w:pPr>
        <w:spacing w:after="213"/>
        <w:jc w:val="both"/>
      </w:pPr>
      <w:r>
        <w:rPr>
          <w:rFonts w:ascii="Arial" w:hAnsi="Arial" w:cs="Arial"/>
          <w:color w:val="181F26"/>
          <w:spacing w:val="0"/>
          <w:sz w:val="29"/>
          <w:szCs w:val="29"/>
        </w:rPr>
        <w:t xml:space="preserve">A suíte atual possui </w:t>
      </w:r>
      <w:r>
        <w:rPr>
          <w:rFonts w:ascii="Arial" w:hAnsi="Arial" w:cs="Arial"/>
          <w:b/>
          <w:bCs/>
          <w:color w:val="181F26"/>
          <w:spacing w:val="0"/>
          <w:sz w:val="29"/>
          <w:szCs w:val="29"/>
        </w:rPr>
        <w:t>254 testes</w:t>
      </w:r>
      <w:r>
        <w:rPr>
          <w:rFonts w:ascii="Arial" w:hAnsi="Arial" w:cs="Arial"/>
          <w:color w:val="181F26"/>
          <w:spacing w:val="0"/>
          <w:sz w:val="29"/>
          <w:szCs w:val="29"/>
        </w:rPr>
        <w:t xml:space="preserve">, executados com </w:t>
      </w:r>
      <w:r>
        <w:rPr>
          <w:rFonts w:ascii="Menlo" w:hAnsi="Menlo" w:cs="Menlo"/>
          <w:color w:val="181F26"/>
          <w:spacing w:val="0"/>
          <w:sz w:val="24"/>
          <w:szCs w:val="24"/>
        </w:rPr>
        <w:t>unittest</w:t>
      </w:r>
      <w:r>
        <w:rPr>
          <w:rFonts w:ascii="Arial" w:hAnsi="Arial" w:cs="Arial"/>
          <w:color w:val="181F26"/>
          <w:spacing w:val="0"/>
          <w:sz w:val="29"/>
          <w:szCs w:val="29"/>
        </w:rPr>
        <w:t>. Ela cobre validação, PubMed, PMC, chunking, recuperação, classificação, síntese, ingestão, seleção de alegações, persistência, API, relatórios, indicadores, leitura de artigos e ferramentas complementares.</w:t>
      </w:r>
    </w:p>
    <w:p w14:paraId="5309CCA9">
      <w:pPr>
        <w:spacing w:after="160"/>
      </w:pPr>
      <w:r>
        <w:rPr>
          <w:rFonts w:ascii="Arial" w:hAnsi="Arial" w:cs="Arial"/>
          <w:b/>
          <w:bCs/>
          <w:color w:val="1C3F35"/>
          <w:spacing w:val="0"/>
          <w:sz w:val="34"/>
          <w:szCs w:val="34"/>
        </w:rPr>
        <w:t>6.2 Teste real após as melhorias</w:t>
      </w:r>
    </w:p>
    <w:p w14:paraId="12D74FB7">
      <w:pPr>
        <w:spacing w:after="213"/>
        <w:jc w:val="both"/>
      </w:pPr>
      <w:r>
        <w:rPr>
          <w:rFonts w:ascii="Arial" w:hAnsi="Arial" w:cs="Arial"/>
          <w:color w:val="181F26"/>
          <w:spacing w:val="0"/>
          <w:sz w:val="29"/>
          <w:szCs w:val="29"/>
        </w:rPr>
        <w:t>Uma análise real da alegação “Regular aerobic exercise reduces HbA1c in adults with type 2 diabetes” concluiu com sucesso em aproximadamente 27 segundos. Foram recuperados seis artigos, cinco foram analisados e dois possuíam texto completo. Os cinco artigos avaliados produziram campos de comparabilidade PICO e risco de viés; a certeza estimada foi baixa, demonstrando comportamento conservador diante de informação metodológica limitada.</w:t>
      </w:r>
    </w:p>
    <w:p w14:paraId="0CCED053">
      <w:pPr>
        <w:spacing w:after="160"/>
      </w:pPr>
      <w:r>
        <w:rPr>
          <w:rFonts w:ascii="Arial" w:hAnsi="Arial" w:cs="Arial"/>
          <w:b/>
          <w:bCs/>
          <w:color w:val="1C3F35"/>
          <w:spacing w:val="0"/>
          <w:sz w:val="34"/>
          <w:szCs w:val="34"/>
        </w:rPr>
        <w:t>6.3 Observabilidade</w:t>
      </w:r>
    </w:p>
    <w:p w14:paraId="169DA27C">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Logs JSON estruturados por requisição, análise e etapa.</w:t>
      </w:r>
    </w:p>
    <w:p w14:paraId="5343CEE7">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request_id</w:t>
      </w:r>
      <w:r>
        <w:rPr>
          <w:rFonts w:ascii="Arial" w:hAnsi="Arial" w:cs="Arial"/>
          <w:color w:val="181F26"/>
          <w:spacing w:val="0"/>
          <w:sz w:val="29"/>
          <w:szCs w:val="29"/>
        </w:rPr>
        <w:t xml:space="preserve"> e </w:t>
      </w:r>
      <w:r>
        <w:rPr>
          <w:rFonts w:ascii="Menlo" w:hAnsi="Menlo" w:cs="Menlo"/>
          <w:color w:val="181F26"/>
          <w:spacing w:val="0"/>
          <w:sz w:val="24"/>
          <w:szCs w:val="24"/>
        </w:rPr>
        <w:t>analysis_id</w:t>
      </w:r>
      <w:r>
        <w:rPr>
          <w:rFonts w:ascii="Arial" w:hAnsi="Arial" w:cs="Arial"/>
          <w:color w:val="181F26"/>
          <w:spacing w:val="0"/>
          <w:sz w:val="29"/>
          <w:szCs w:val="29"/>
        </w:rPr>
        <w:t xml:space="preserve"> para correlação.</w:t>
      </w:r>
    </w:p>
    <w:p w14:paraId="7843E113">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Duração, status e tipo de erro por etapa.</w:t>
      </w:r>
    </w:p>
    <w:p w14:paraId="31089B74">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Rotação de arquivo e integração prevista com Loki/Grafana via Alloy.</w:t>
      </w:r>
    </w:p>
    <w:p w14:paraId="2EB54426">
      <w:pPr>
        <w:spacing w:after="106"/>
        <w:ind w:left="720"/>
      </w:pPr>
      <w:r>
        <w:tab/>
      </w:r>
      <w:r>
        <w:rPr>
          <w:rFonts w:ascii="Arial" w:hAnsi="Arial" w:cs="Arial"/>
          <w:color w:val="181F26"/>
          <w:sz w:val="29"/>
          <w:szCs w:val="29"/>
        </w:rPr>
        <w:t>•</w:t>
      </w:r>
      <w:r>
        <w:tab/>
      </w:r>
      <w:r>
        <w:rPr>
          <w:rFonts w:ascii="Arial" w:hAnsi="Arial" w:cs="Arial"/>
          <w:color w:val="181F26"/>
          <w:spacing w:val="0"/>
          <w:sz w:val="29"/>
          <w:szCs w:val="29"/>
        </w:rPr>
        <w:t>Liveness separado de readiness para distinguir processo ativo de serviço pronto.</w:t>
      </w:r>
    </w:p>
    <w:p w14:paraId="175DEEA2">
      <w:pPr>
        <w:spacing w:after="106"/>
      </w:pPr>
    </w:p>
    <w:p w14:paraId="281A515B">
      <w:pPr>
        <w:spacing w:after="213"/>
      </w:pPr>
      <w:r>
        <w:rPr>
          <w:rFonts w:ascii="Arial" w:hAnsi="Arial" w:cs="Arial"/>
          <w:b/>
          <w:bCs/>
          <w:color w:val="1A4A3A"/>
          <w:spacing w:val="0"/>
          <w:sz w:val="42"/>
          <w:szCs w:val="42"/>
        </w:rPr>
        <w:t>7. Limitações atuais e riscos</w:t>
      </w:r>
    </w:p>
    <w:p w14:paraId="461B780E">
      <w:r>
        <w:rPr>
          <w:rFonts w:ascii="Arial" w:hAnsi="Arial" w:cs="Arial"/>
          <w:b/>
          <w:bCs/>
          <w:color w:val="181F26"/>
          <w:spacing w:val="0"/>
          <w:sz w:val="29"/>
          <w:szCs w:val="29"/>
        </w:rPr>
        <w:t>Limitação científica.</w:t>
      </w:r>
      <w:r>
        <w:rPr>
          <w:rFonts w:ascii="Arial" w:hAnsi="Arial" w:cs="Arial"/>
          <w:color w:val="181F26"/>
          <w:spacing w:val="0"/>
          <w:sz w:val="29"/>
          <w:szCs w:val="29"/>
        </w:rPr>
        <w:t xml:space="preserve"> Os testes demonstram comportamento de software, não sendo pssível ter uma acurácia clínica. Ainda não existe conjunto de ground truth suficiente para medir recall, precisão, calibração do risco de viés ou concordância com revisores especialistas.</w:t>
      </w:r>
    </w:p>
    <w:p w14:paraId="3360D789"/>
    <w:p w14:paraId="4451DE89">
      <w:pPr>
        <w:spacing w:after="106"/>
        <w:ind w:left="720"/>
      </w:pPr>
      <w:r>
        <w:tab/>
      </w:r>
      <w:r>
        <w:rPr>
          <w:rFonts w:ascii="Arial" w:hAnsi="Arial" w:cs="Arial"/>
          <w:b/>
          <w:bCs/>
          <w:color w:val="181F26"/>
          <w:sz w:val="29"/>
          <w:szCs w:val="29"/>
        </w:rPr>
        <w:t>1</w:t>
      </w:r>
      <w:r>
        <w:tab/>
      </w:r>
      <w:r>
        <w:rPr>
          <w:rFonts w:ascii="Arial" w:hAnsi="Arial" w:cs="Arial"/>
          <w:b/>
          <w:bCs/>
          <w:color w:val="181F26"/>
          <w:spacing w:val="0"/>
          <w:sz w:val="29"/>
          <w:szCs w:val="29"/>
        </w:rPr>
        <w:t>Cobertura bibliográfica.</w:t>
      </w:r>
      <w:r>
        <w:rPr>
          <w:rFonts w:ascii="Arial" w:hAnsi="Arial" w:cs="Arial"/>
          <w:color w:val="181F26"/>
          <w:spacing w:val="0"/>
          <w:sz w:val="29"/>
          <w:szCs w:val="29"/>
        </w:rPr>
        <w:t xml:space="preserve"> O runtime atual consulta PubMed/PMC e pode omitir estudos relevantes de outras bases.</w:t>
      </w:r>
    </w:p>
    <w:p w14:paraId="05ACCD31">
      <w:pPr>
        <w:spacing w:after="106"/>
        <w:ind w:left="720"/>
      </w:pPr>
      <w:r>
        <w:tab/>
      </w:r>
      <w:r>
        <w:rPr>
          <w:rFonts w:ascii="Arial" w:hAnsi="Arial" w:cs="Arial"/>
          <w:b/>
          <w:bCs/>
          <w:color w:val="181F26"/>
          <w:sz w:val="29"/>
          <w:szCs w:val="29"/>
        </w:rPr>
        <w:t>2</w:t>
      </w:r>
      <w:r>
        <w:tab/>
      </w:r>
      <w:r>
        <w:rPr>
          <w:rFonts w:ascii="Arial" w:hAnsi="Arial" w:cs="Arial"/>
          <w:b/>
          <w:bCs/>
          <w:color w:val="181F26"/>
          <w:spacing w:val="0"/>
          <w:sz w:val="29"/>
          <w:szCs w:val="29"/>
        </w:rPr>
        <w:t>Texto integral.</w:t>
      </w:r>
      <w:r>
        <w:rPr>
          <w:rFonts w:ascii="Arial" w:hAnsi="Arial" w:cs="Arial"/>
          <w:color w:val="181F26"/>
          <w:spacing w:val="0"/>
          <w:sz w:val="29"/>
          <w:szCs w:val="29"/>
        </w:rPr>
        <w:t xml:space="preserve"> Muitos artigos não estão no PMC. Nesses casos, o sistema depende do abstract ou do PDF enviado.</w:t>
      </w:r>
    </w:p>
    <w:p w14:paraId="07B4C7A9">
      <w:pPr>
        <w:spacing w:after="106"/>
        <w:ind w:left="720"/>
      </w:pPr>
      <w:r>
        <w:tab/>
      </w:r>
      <w:r>
        <w:rPr>
          <w:rFonts w:ascii="Arial" w:hAnsi="Arial" w:cs="Arial"/>
          <w:b/>
          <w:bCs/>
          <w:color w:val="181F26"/>
          <w:sz w:val="29"/>
          <w:szCs w:val="29"/>
        </w:rPr>
        <w:t>3</w:t>
      </w:r>
      <w:r>
        <w:tab/>
      </w:r>
      <w:r>
        <w:rPr>
          <w:rFonts w:ascii="Arial" w:hAnsi="Arial" w:cs="Arial"/>
          <w:b/>
          <w:bCs/>
          <w:color w:val="181F26"/>
          <w:spacing w:val="0"/>
          <w:sz w:val="29"/>
          <w:szCs w:val="29"/>
        </w:rPr>
        <w:t>Triagem metodológica.</w:t>
      </w:r>
      <w:r>
        <w:rPr>
          <w:rFonts w:ascii="Arial" w:hAnsi="Arial" w:cs="Arial"/>
          <w:color w:val="181F26"/>
          <w:spacing w:val="0"/>
          <w:sz w:val="29"/>
          <w:szCs w:val="29"/>
        </w:rPr>
        <w:t xml:space="preserve"> O modelo avalia apenas os trechos fornecidos. “Incerto” é a resposta correta quando detalhes de métodos não aparecem.</w:t>
      </w:r>
    </w:p>
    <w:p w14:paraId="18C16E77">
      <w:pPr>
        <w:spacing w:after="106"/>
        <w:ind w:left="720"/>
      </w:pPr>
      <w:r>
        <w:tab/>
      </w:r>
      <w:r>
        <w:rPr>
          <w:rFonts w:ascii="Arial" w:hAnsi="Arial" w:cs="Arial"/>
          <w:b/>
          <w:bCs/>
          <w:color w:val="181F26"/>
          <w:sz w:val="29"/>
          <w:szCs w:val="29"/>
        </w:rPr>
        <w:t>4</w:t>
      </w:r>
      <w:r>
        <w:tab/>
      </w:r>
      <w:r>
        <w:rPr>
          <w:rFonts w:ascii="Arial" w:hAnsi="Arial" w:cs="Arial"/>
          <w:b/>
          <w:bCs/>
          <w:color w:val="181F26"/>
          <w:spacing w:val="0"/>
          <w:sz w:val="29"/>
          <w:szCs w:val="29"/>
        </w:rPr>
        <w:t>Dependência externa.</w:t>
      </w:r>
      <w:r>
        <w:rPr>
          <w:rFonts w:ascii="Arial" w:hAnsi="Arial" w:cs="Arial"/>
          <w:color w:val="181F26"/>
          <w:spacing w:val="0"/>
          <w:sz w:val="29"/>
          <w:szCs w:val="29"/>
        </w:rPr>
        <w:t xml:space="preserve"> PubMed e Gemini podem apresentar indisponibilidade, mudança de contrato, timeout ou cota.</w:t>
      </w:r>
    </w:p>
    <w:p w14:paraId="6455FA77">
      <w:pPr>
        <w:spacing w:after="106"/>
        <w:ind w:left="720"/>
      </w:pPr>
      <w:r>
        <w:tab/>
      </w:r>
      <w:r>
        <w:rPr>
          <w:rFonts w:ascii="Arial" w:hAnsi="Arial" w:cs="Arial"/>
          <w:b/>
          <w:bCs/>
          <w:color w:val="181F26"/>
          <w:sz w:val="29"/>
          <w:szCs w:val="29"/>
        </w:rPr>
        <w:t>5</w:t>
      </w:r>
      <w:r>
        <w:tab/>
      </w:r>
      <w:r>
        <w:rPr>
          <w:rFonts w:ascii="Arial" w:hAnsi="Arial" w:cs="Arial"/>
          <w:b/>
          <w:bCs/>
          <w:color w:val="181F26"/>
          <w:spacing w:val="0"/>
          <w:sz w:val="29"/>
          <w:szCs w:val="29"/>
        </w:rPr>
        <w:t>Escalabilidade.</w:t>
      </w:r>
      <w:r>
        <w:rPr>
          <w:rFonts w:ascii="Arial" w:hAnsi="Arial" w:cs="Arial"/>
          <w:color w:val="181F26"/>
          <w:spacing w:val="0"/>
          <w:sz w:val="29"/>
          <w:szCs w:val="29"/>
        </w:rPr>
        <w:t xml:space="preserve"> Dois workers internos e um processo Gunicorn são suficientes para demonstração, não para alta concorrência.</w:t>
      </w:r>
    </w:p>
    <w:p w14:paraId="0F3B4637">
      <w:pPr>
        <w:spacing w:after="106"/>
        <w:ind w:left="720"/>
      </w:pPr>
      <w:r>
        <w:tab/>
      </w:r>
      <w:r>
        <w:rPr>
          <w:rFonts w:ascii="Arial" w:hAnsi="Arial" w:cs="Arial"/>
          <w:b/>
          <w:bCs/>
          <w:color w:val="181F26"/>
          <w:sz w:val="29"/>
          <w:szCs w:val="29"/>
        </w:rPr>
        <w:t>6</w:t>
      </w:r>
      <w:r>
        <w:tab/>
      </w:r>
      <w:r>
        <w:rPr>
          <w:rFonts w:ascii="Arial" w:hAnsi="Arial" w:cs="Arial"/>
          <w:b/>
          <w:bCs/>
          <w:color w:val="181F26"/>
          <w:spacing w:val="0"/>
          <w:sz w:val="29"/>
          <w:szCs w:val="29"/>
        </w:rPr>
        <w:t>Ambiente local.</w:t>
      </w:r>
      <w:r>
        <w:rPr>
          <w:rFonts w:ascii="Arial" w:hAnsi="Arial" w:cs="Arial"/>
          <w:color w:val="181F26"/>
          <w:spacing w:val="0"/>
          <w:sz w:val="29"/>
          <w:szCs w:val="29"/>
        </w:rPr>
        <w:t xml:space="preserve"> A máquina atual executa Python 3.14, enquanto a imagem Docker fixa Python 3.11. O fallback Gemini reduz a dependência dos modelos locais, mas o contêiner continua sendo o ambiente reproduzível recomendado.</w:t>
      </w:r>
    </w:p>
    <w:p w14:paraId="6E2788EF">
      <w:pPr>
        <w:spacing w:after="106"/>
        <w:ind w:left="720"/>
      </w:pPr>
      <w:r>
        <w:tab/>
      </w:r>
      <w:r>
        <w:rPr>
          <w:rFonts w:ascii="Arial" w:hAnsi="Arial" w:cs="Arial"/>
          <w:b/>
          <w:bCs/>
          <w:color w:val="181F26"/>
          <w:sz w:val="29"/>
          <w:szCs w:val="29"/>
        </w:rPr>
        <w:t>7</w:t>
      </w:r>
      <w:r>
        <w:tab/>
      </w:r>
      <w:r>
        <w:rPr>
          <w:rFonts w:ascii="Arial" w:hAnsi="Arial" w:cs="Arial"/>
          <w:b/>
          <w:bCs/>
          <w:color w:val="181F26"/>
          <w:spacing w:val="0"/>
          <w:sz w:val="29"/>
          <w:szCs w:val="29"/>
        </w:rPr>
        <w:t>Privacidade.</w:t>
      </w:r>
      <w:r>
        <w:rPr>
          <w:rFonts w:ascii="Arial" w:hAnsi="Arial" w:cs="Arial"/>
          <w:color w:val="181F26"/>
          <w:spacing w:val="0"/>
          <w:sz w:val="29"/>
          <w:szCs w:val="29"/>
        </w:rPr>
        <w:t xml:space="preserve"> Artigos, alegações e resultados persistidos exigem política de retenção e controle de acesso antes de exposição pública.</w:t>
      </w:r>
    </w:p>
    <w:p w14:paraId="697F2ADA">
      <w:pPr>
        <w:spacing w:after="106"/>
      </w:pPr>
    </w:p>
    <w:p w14:paraId="7CF02BDA">
      <w:pPr>
        <w:spacing w:after="106"/>
      </w:pPr>
    </w:p>
    <w:p w14:paraId="7BB11FE8">
      <w:pPr>
        <w:spacing w:after="106"/>
      </w:pPr>
    </w:p>
    <w:p w14:paraId="6988DE97">
      <w:pPr>
        <w:spacing w:after="106"/>
      </w:pPr>
    </w:p>
    <w:p w14:paraId="01F73E41">
      <w:pPr>
        <w:spacing w:after="106"/>
      </w:pPr>
    </w:p>
    <w:p w14:paraId="7B0F0100">
      <w:pPr>
        <w:spacing w:after="213"/>
      </w:pPr>
      <w:r>
        <w:rPr>
          <w:rFonts w:ascii="Arial" w:hAnsi="Arial" w:cs="Arial"/>
          <w:b/>
          <w:bCs/>
          <w:color w:val="1A4A3A"/>
          <w:spacing w:val="0"/>
          <w:sz w:val="42"/>
          <w:szCs w:val="42"/>
        </w:rPr>
        <w:t>8. Próximos passos recomendados</w:t>
      </w:r>
    </w:p>
    <w:p w14:paraId="44E9BB5C">
      <w:r>
        <w:rPr>
          <w:rFonts w:ascii="Arial" w:hAnsi="Arial" w:cs="Arial"/>
          <w:b/>
          <w:bCs/>
          <w:color w:val="FFFFFF"/>
          <w:spacing w:val="0"/>
          <w:sz w:val="25"/>
          <w:szCs w:val="25"/>
        </w:rPr>
        <w:t>Prioridade</w:t>
      </w:r>
    </w:p>
    <w:p w14:paraId="497E1272">
      <w:r>
        <w:rPr>
          <w:rFonts w:ascii="Arial" w:hAnsi="Arial" w:cs="Arial"/>
          <w:b/>
          <w:bCs/>
          <w:color w:val="FFFFFF"/>
          <w:spacing w:val="0"/>
          <w:sz w:val="25"/>
          <w:szCs w:val="25"/>
        </w:rPr>
        <w:t>Próximo passo</w:t>
      </w:r>
    </w:p>
    <w:p w14:paraId="35D44544">
      <w:r>
        <w:rPr>
          <w:rFonts w:ascii="Arial" w:hAnsi="Arial" w:cs="Arial"/>
          <w:b/>
          <w:bCs/>
          <w:color w:val="FFFFFF"/>
          <w:spacing w:val="0"/>
          <w:sz w:val="25"/>
          <w:szCs w:val="25"/>
        </w:rPr>
        <w:t>Resultado esperado</w:t>
      </w:r>
    </w:p>
    <w:p w14:paraId="3D8A0277">
      <w:r>
        <w:rPr>
          <w:rFonts w:ascii="Arial" w:hAnsi="Arial" w:cs="Arial"/>
          <w:color w:val="181F26"/>
          <w:spacing w:val="0"/>
          <w:sz w:val="25"/>
          <w:szCs w:val="25"/>
        </w:rPr>
        <w:t>Alta</w:t>
      </w:r>
    </w:p>
    <w:p w14:paraId="609FC73C">
      <w:r>
        <w:rPr>
          <w:rFonts w:ascii="Arial" w:hAnsi="Arial" w:cs="Arial"/>
          <w:color w:val="181F26"/>
          <w:spacing w:val="0"/>
          <w:sz w:val="25"/>
          <w:szCs w:val="25"/>
        </w:rPr>
        <w:t>Criar corpus de avaliação com alegações, estudos relevantes e julgamentos de especialistas.</w:t>
      </w:r>
    </w:p>
    <w:p w14:paraId="5F54548C">
      <w:r>
        <w:rPr>
          <w:rFonts w:ascii="Arial" w:hAnsi="Arial" w:cs="Arial"/>
          <w:color w:val="181F26"/>
          <w:spacing w:val="0"/>
          <w:sz w:val="25"/>
          <w:szCs w:val="25"/>
        </w:rPr>
        <w:t>Medir Recall@K, Precision@K, concordância e abstenção correta.</w:t>
      </w:r>
    </w:p>
    <w:p w14:paraId="1D726DC2">
      <w:r>
        <w:rPr>
          <w:rFonts w:ascii="Arial" w:hAnsi="Arial" w:cs="Arial"/>
          <w:color w:val="181F26"/>
          <w:spacing w:val="0"/>
          <w:sz w:val="25"/>
          <w:szCs w:val="25"/>
        </w:rPr>
        <w:t>Alta</w:t>
      </w:r>
    </w:p>
    <w:p w14:paraId="05648E9E">
      <w:r>
        <w:rPr>
          <w:rFonts w:ascii="Arial" w:hAnsi="Arial" w:cs="Arial"/>
          <w:color w:val="181F26"/>
          <w:spacing w:val="0"/>
          <w:sz w:val="25"/>
          <w:szCs w:val="25"/>
        </w:rPr>
        <w:t>Comparar a triagem de risco de viés com dois revisores independentes.</w:t>
      </w:r>
    </w:p>
    <w:p w14:paraId="09CAA029">
      <w:r>
        <w:rPr>
          <w:rFonts w:ascii="Arial" w:hAnsi="Arial" w:cs="Arial"/>
          <w:color w:val="181F26"/>
          <w:spacing w:val="0"/>
          <w:sz w:val="25"/>
          <w:szCs w:val="25"/>
        </w:rPr>
        <w:t>Estimar confiabilidade e identificar domínios frágeis.</w:t>
      </w:r>
    </w:p>
    <w:p w14:paraId="33474AB6">
      <w:r>
        <w:rPr>
          <w:rFonts w:ascii="Arial" w:hAnsi="Arial" w:cs="Arial"/>
          <w:color w:val="181F26"/>
          <w:spacing w:val="0"/>
          <w:sz w:val="25"/>
          <w:szCs w:val="25"/>
        </w:rPr>
        <w:t>Alta</w:t>
      </w:r>
    </w:p>
    <w:p w14:paraId="4331AC9B">
      <w:r>
        <w:rPr>
          <w:rFonts w:ascii="Arial" w:hAnsi="Arial" w:cs="Arial"/>
          <w:color w:val="181F26"/>
          <w:spacing w:val="0"/>
          <w:sz w:val="25"/>
          <w:szCs w:val="25"/>
        </w:rPr>
        <w:t>Preparar roteiro controlado da apresentação com artigos PMC conhecidos.</w:t>
      </w:r>
    </w:p>
    <w:p w14:paraId="2CCF164A">
      <w:r>
        <w:rPr>
          <w:rFonts w:ascii="Arial" w:hAnsi="Arial" w:cs="Arial"/>
          <w:color w:val="181F26"/>
          <w:spacing w:val="0"/>
          <w:sz w:val="25"/>
          <w:szCs w:val="25"/>
        </w:rPr>
        <w:t>Reduzir dependência de disponibilidade externa durante a banca.</w:t>
      </w:r>
    </w:p>
    <w:p w14:paraId="33BA2B65">
      <w:r>
        <w:rPr>
          <w:rFonts w:ascii="Arial" w:hAnsi="Arial" w:cs="Arial"/>
          <w:color w:val="181F26"/>
          <w:spacing w:val="0"/>
          <w:sz w:val="25"/>
          <w:szCs w:val="25"/>
        </w:rPr>
        <w:t>Média</w:t>
      </w:r>
    </w:p>
    <w:p w14:paraId="6C57D8CD">
      <w:r>
        <w:rPr>
          <w:rFonts w:ascii="Arial" w:hAnsi="Arial" w:cs="Arial"/>
          <w:color w:val="181F26"/>
          <w:spacing w:val="0"/>
          <w:sz w:val="25"/>
          <w:szCs w:val="25"/>
        </w:rPr>
        <w:t>Adicionar autenticação e separação por usuário.</w:t>
      </w:r>
    </w:p>
    <w:p w14:paraId="1D959EDB">
      <w:r>
        <w:rPr>
          <w:rFonts w:ascii="Arial" w:hAnsi="Arial" w:cs="Arial"/>
          <w:color w:val="181F26"/>
          <w:spacing w:val="0"/>
          <w:sz w:val="25"/>
          <w:szCs w:val="25"/>
        </w:rPr>
        <w:t>Proteger dados caso o sistema seja publicado.</w:t>
      </w:r>
    </w:p>
    <w:p w14:paraId="0A6D3A7F">
      <w:r>
        <w:rPr>
          <w:rFonts w:ascii="Arial" w:hAnsi="Arial" w:cs="Arial"/>
          <w:color w:val="181F26"/>
          <w:spacing w:val="0"/>
          <w:sz w:val="25"/>
          <w:szCs w:val="25"/>
        </w:rPr>
        <w:t>Média</w:t>
      </w:r>
    </w:p>
    <w:p w14:paraId="12079B31">
      <w:r>
        <w:rPr>
          <w:rFonts w:ascii="Arial" w:hAnsi="Arial" w:cs="Arial"/>
          <w:color w:val="181F26"/>
          <w:spacing w:val="0"/>
          <w:sz w:val="25"/>
          <w:szCs w:val="25"/>
        </w:rPr>
        <w:t>Migrar jobs para fila durável caso haja múltiplos processos.</w:t>
      </w:r>
    </w:p>
    <w:p w14:paraId="47B35F6C">
      <w:r>
        <w:rPr>
          <w:rFonts w:ascii="Arial" w:hAnsi="Arial" w:cs="Arial"/>
          <w:color w:val="181F26"/>
          <w:spacing w:val="0"/>
          <w:sz w:val="25"/>
          <w:szCs w:val="25"/>
        </w:rPr>
        <w:t>Retomada, escalabilidade e isolamento operacional.</w:t>
      </w:r>
    </w:p>
    <w:p w14:paraId="0D1D4CC0">
      <w:r>
        <w:rPr>
          <w:rFonts w:ascii="Arial" w:hAnsi="Arial" w:cs="Arial"/>
          <w:color w:val="181F26"/>
          <w:spacing w:val="0"/>
          <w:sz w:val="25"/>
          <w:szCs w:val="25"/>
        </w:rPr>
        <w:t>Média</w:t>
      </w:r>
    </w:p>
    <w:p w14:paraId="73EA3360">
      <w:r>
        <w:rPr>
          <w:rFonts w:ascii="Arial" w:hAnsi="Arial" w:cs="Arial"/>
          <w:color w:val="181F26"/>
          <w:spacing w:val="0"/>
          <w:sz w:val="25"/>
          <w:szCs w:val="25"/>
        </w:rPr>
        <w:t>Reintroduzir fontes externas de forma configurável e avaliada.</w:t>
      </w:r>
    </w:p>
    <w:p w14:paraId="067CD57C">
      <w:r>
        <w:rPr>
          <w:rFonts w:ascii="Arial" w:hAnsi="Arial" w:cs="Arial"/>
          <w:color w:val="181F26"/>
          <w:spacing w:val="0"/>
          <w:sz w:val="25"/>
          <w:szCs w:val="25"/>
        </w:rPr>
        <w:t>Aumentar cobertura sem perder rastreabilidade.</w:t>
      </w:r>
    </w:p>
    <w:p w14:paraId="40ED0F39">
      <w:r>
        <w:rPr>
          <w:rFonts w:ascii="Arial" w:hAnsi="Arial" w:cs="Arial"/>
          <w:color w:val="181F26"/>
          <w:spacing w:val="0"/>
          <w:sz w:val="25"/>
          <w:szCs w:val="25"/>
        </w:rPr>
        <w:t>Baixa para a demo</w:t>
      </w:r>
    </w:p>
    <w:p w14:paraId="0057715D">
      <w:r>
        <w:rPr>
          <w:rFonts w:ascii="Arial" w:hAnsi="Arial" w:cs="Arial"/>
          <w:color w:val="181F26"/>
          <w:spacing w:val="0"/>
          <w:sz w:val="25"/>
          <w:szCs w:val="25"/>
        </w:rPr>
        <w:t>Aprimorar rate limits e cache distribuído.</w:t>
      </w:r>
    </w:p>
    <w:p w14:paraId="2425AAB7">
      <w:r>
        <w:rPr>
          <w:rFonts w:ascii="Arial" w:hAnsi="Arial" w:cs="Arial"/>
          <w:color w:val="181F26"/>
          <w:spacing w:val="0"/>
          <w:sz w:val="25"/>
          <w:szCs w:val="25"/>
        </w:rPr>
        <w:t>Melhor comportamento em produção concorrente.</w:t>
      </w:r>
    </w:p>
    <w:p w14:paraId="527D1C95">
      <w:pPr>
        <w:spacing w:after="213"/>
      </w:pPr>
      <w:r>
        <w:rPr>
          <w:rFonts w:ascii="Arial" w:hAnsi="Arial" w:cs="Arial"/>
          <w:b/>
          <w:bCs/>
          <w:color w:val="1A4A3A"/>
          <w:spacing w:val="0"/>
          <w:sz w:val="42"/>
          <w:szCs w:val="42"/>
        </w:rPr>
        <w:t>9. Conclusão</w:t>
      </w:r>
    </w:p>
    <w:p w14:paraId="09A306C4">
      <w:pPr>
        <w:spacing w:after="213"/>
        <w:jc w:val="both"/>
      </w:pPr>
      <w:r>
        <w:rPr>
          <w:rFonts w:ascii="Arial" w:hAnsi="Arial" w:cs="Arial"/>
          <w:color w:val="181F26"/>
          <w:spacing w:val="0"/>
          <w:sz w:val="29"/>
          <w:szCs w:val="29"/>
        </w:rPr>
        <w:t>O backend evoluiu de uma prova de conceito para uma aplicação modular, testável e rastreável. A principal contribuição não é apenas a integração com bases e modelos, mas a definição de limites científicos claros: conteúdo não recuperado não é inventado; citação não localizada não sustenta relação direta; retratação não é diluída em pontuação; ausência de resultado não equivale a ausência de evidência; e a avaliação metodológica automatizada é apresentada como triagem.</w:t>
      </w:r>
    </w:p>
    <w:p w14:paraId="6FEB90AA">
      <w:pPr>
        <w:spacing w:after="213"/>
        <w:jc w:val="both"/>
      </w:pPr>
      <w:r>
        <w:rPr>
          <w:rFonts w:ascii="Arial" w:hAnsi="Arial" w:cs="Arial"/>
          <w:color w:val="181F26"/>
          <w:spacing w:val="0"/>
          <w:sz w:val="29"/>
          <w:szCs w:val="29"/>
        </w:rPr>
        <w:t>Para a residência, o sistema está adequado como demonstração técnica de engenharia de dados científicos, integração de APIs, processamento assíncrono, recuperação de informação e IA explicável. A continuidade natural do trabalho é deixar de validar somente regras de software e medir o desempenho científico com um conjunto de referência e revisão especializada.</w:t>
      </w:r>
    </w:p>
    <w:p w14:paraId="045C3F96">
      <w:pPr>
        <w:spacing w:after="213"/>
      </w:pPr>
      <w:r>
        <w:rPr>
          <w:rFonts w:ascii="Arial" w:hAnsi="Arial" w:cs="Arial"/>
          <w:b/>
          <w:bCs/>
          <w:color w:val="1A4A3A"/>
          <w:spacing w:val="0"/>
          <w:sz w:val="42"/>
          <w:szCs w:val="42"/>
        </w:rPr>
        <w:t>Referências técnicas do projeto</w:t>
      </w:r>
    </w:p>
    <w:p w14:paraId="3649EEAE">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README.md</w:t>
      </w:r>
      <w:r>
        <w:rPr>
          <w:rFonts w:ascii="Arial" w:hAnsi="Arial" w:cs="Arial"/>
          <w:color w:val="181F26"/>
          <w:spacing w:val="0"/>
          <w:sz w:val="29"/>
          <w:szCs w:val="29"/>
        </w:rPr>
        <w:t xml:space="preserve"> — escopo, instalação e uso.</w:t>
      </w:r>
    </w:p>
    <w:p w14:paraId="7AFB7B5F">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docs/fluxo-mvp.md</w:t>
      </w:r>
      <w:r>
        <w:rPr>
          <w:rFonts w:ascii="Arial" w:hAnsi="Arial" w:cs="Arial"/>
          <w:color w:val="181F26"/>
          <w:spacing w:val="0"/>
          <w:sz w:val="29"/>
          <w:szCs w:val="29"/>
        </w:rPr>
        <w:t xml:space="preserve"> — evolução e validações por etapa.</w:t>
      </w:r>
    </w:p>
    <w:p w14:paraId="6D5009A3">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docs/fluxo-backend-mermaid.md</w:t>
      </w:r>
      <w:r>
        <w:rPr>
          <w:rFonts w:ascii="Arial" w:hAnsi="Arial" w:cs="Arial"/>
          <w:color w:val="181F26"/>
          <w:spacing w:val="0"/>
          <w:sz w:val="29"/>
          <w:szCs w:val="29"/>
        </w:rPr>
        <w:t xml:space="preserve"> — arquitetura do backend.</w:t>
      </w:r>
    </w:p>
    <w:p w14:paraId="339A2F92">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src/fatofake/api.py</w:t>
      </w:r>
      <w:r>
        <w:rPr>
          <w:rFonts w:ascii="Arial" w:hAnsi="Arial" w:cs="Arial"/>
          <w:color w:val="181F26"/>
          <w:spacing w:val="0"/>
          <w:sz w:val="29"/>
          <w:szCs w:val="29"/>
        </w:rPr>
        <w:t xml:space="preserve"> — API, jobs e persistência.</w:t>
      </w:r>
    </w:p>
    <w:p w14:paraId="591F10E9">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src/fatofake/retrieval_preview.py</w:t>
      </w:r>
      <w:r>
        <w:rPr>
          <w:rFonts w:ascii="Arial" w:hAnsi="Arial" w:cs="Arial"/>
          <w:color w:val="181F26"/>
          <w:spacing w:val="0"/>
          <w:sz w:val="29"/>
          <w:szCs w:val="29"/>
        </w:rPr>
        <w:t xml:space="preserve"> — composição do runtime PubMed/PMC.</w:t>
      </w:r>
    </w:p>
    <w:p w14:paraId="60049ED5">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src/fatofake/article_ingestion.py</w:t>
      </w:r>
      <w:r>
        <w:rPr>
          <w:rFonts w:ascii="Arial" w:hAnsi="Arial" w:cs="Arial"/>
          <w:color w:val="181F26"/>
          <w:spacing w:val="0"/>
          <w:sz w:val="29"/>
          <w:szCs w:val="29"/>
        </w:rPr>
        <w:t xml:space="preserve"> — ingestão e fluxo orientado ao artigo.</w:t>
      </w:r>
    </w:p>
    <w:p w14:paraId="51C97487">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src/fatofake/gemini_evidence.py</w:t>
      </w:r>
      <w:r>
        <w:rPr>
          <w:rFonts w:ascii="Arial" w:hAnsi="Arial" w:cs="Arial"/>
          <w:color w:val="181F26"/>
          <w:spacing w:val="0"/>
          <w:sz w:val="29"/>
          <w:szCs w:val="29"/>
        </w:rPr>
        <w:t xml:space="preserve"> — classificação e campos metodológicos.</w:t>
      </w:r>
    </w:p>
    <w:p w14:paraId="4336AD81">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src/fatofake/evidence_table.py</w:t>
      </w:r>
      <w:r>
        <w:rPr>
          <w:rFonts w:ascii="Arial" w:hAnsi="Arial" w:cs="Arial"/>
          <w:color w:val="181F26"/>
          <w:spacing w:val="0"/>
          <w:sz w:val="29"/>
          <w:szCs w:val="29"/>
        </w:rPr>
        <w:t xml:space="preserve"> — ponderação e certeza estimada.</w:t>
      </w:r>
    </w:p>
    <w:p w14:paraId="3548C33B">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src/fatofake/verification_cards.py</w:t>
      </w:r>
      <w:r>
        <w:rPr>
          <w:rFonts w:ascii="Arial" w:hAnsi="Arial" w:cs="Arial"/>
          <w:color w:val="181F26"/>
          <w:spacing w:val="0"/>
          <w:sz w:val="29"/>
          <w:szCs w:val="29"/>
        </w:rPr>
        <w:t xml:space="preserve"> — indicadores separados.</w:t>
      </w:r>
    </w:p>
    <w:p w14:paraId="3272B323">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tests/</w:t>
      </w:r>
      <w:r>
        <w:rPr>
          <w:rFonts w:ascii="Arial" w:hAnsi="Arial" w:cs="Arial"/>
          <w:color w:val="181F26"/>
          <w:spacing w:val="0"/>
          <w:sz w:val="29"/>
          <w:szCs w:val="29"/>
        </w:rPr>
        <w:t xml:space="preserve"> — suíte automatizada.</w:t>
      </w:r>
    </w:p>
    <w:p w14:paraId="172D5F5C">
      <w:pPr>
        <w:spacing w:after="106"/>
        <w:ind w:left="720"/>
      </w:pPr>
      <w:r>
        <w:tab/>
      </w:r>
      <w:r>
        <w:rPr>
          <w:rFonts w:ascii="Menlo" w:hAnsi="Menlo" w:cs="Menlo"/>
          <w:color w:val="181F26"/>
          <w:sz w:val="24"/>
          <w:szCs w:val="24"/>
        </w:rPr>
        <w:t>•</w:t>
      </w:r>
      <w:r>
        <w:tab/>
      </w:r>
      <w:r>
        <w:rPr>
          <w:rFonts w:ascii="Menlo" w:hAnsi="Menlo" w:cs="Menlo"/>
          <w:color w:val="181F26"/>
          <w:spacing w:val="0"/>
          <w:sz w:val="24"/>
          <w:szCs w:val="24"/>
        </w:rPr>
        <w:t>notebooks/01</w:t>
      </w:r>
      <w:r>
        <w:rPr>
          <w:rFonts w:ascii="Arial" w:hAnsi="Arial" w:cs="Arial"/>
          <w:color w:val="181F26"/>
          <w:spacing w:val="0"/>
          <w:sz w:val="29"/>
          <w:szCs w:val="29"/>
        </w:rPr>
        <w:t xml:space="preserve"> a </w:t>
      </w:r>
      <w:r>
        <w:rPr>
          <w:rFonts w:ascii="Menlo" w:hAnsi="Menlo" w:cs="Menlo"/>
          <w:color w:val="181F26"/>
          <w:spacing w:val="0"/>
          <w:sz w:val="24"/>
          <w:szCs w:val="24"/>
        </w:rPr>
        <w:t>notebooks/30</w:t>
      </w:r>
      <w:r>
        <w:rPr>
          <w:rFonts w:ascii="Arial" w:hAnsi="Arial" w:cs="Arial"/>
          <w:color w:val="181F26"/>
          <w:spacing w:val="0"/>
          <w:sz w:val="29"/>
          <w:szCs w:val="29"/>
        </w:rPr>
        <w:t xml:space="preserve"> — validações incrementais e auditáveis.</w:t>
      </w:r>
    </w:p>
    <w:p w14:paraId="72C6638C">
      <w:pPr>
        <w:spacing w:after="213"/>
        <w:jc w:val="both"/>
      </w:pPr>
      <w:r>
        <w:rPr>
          <w:rFonts w:ascii="Arial" w:hAnsi="Arial" w:cs="Arial"/>
          <w:color w:val="444E5A"/>
          <w:spacing w:val="0"/>
          <w:sz w:val="24"/>
          <w:szCs w:val="24"/>
        </w:rPr>
        <w:t>Documento gerado a partir do código, da documentação e do histórico Git disponíveis em 7 de outubro de 2026. As pontuações de dificuldade são avaliações técnicas qualitativas para fins de relato do desenvolvimento.</w:t>
      </w:r>
    </w:p>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2026-10-07T12:38:15.447Z</dcterms:modified>
</cp:coreProperties>
</file>

<file path=docProps/meta.xml><?xml version="1.0" encoding="utf-8"?>
<meta xmlns="http://schemas.apple.com/cocoa/2006/metadata">
  <generator>CocoaOOXMLWriter/2685.7</generator>
</meta>
</file>