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Análise Exploratória de Dados — Corpus PubMed</w:t>
      </w:r>
    </w:p>
    <w:p>
      <w:pPr>
        <w:jc w:val="center"/>
      </w:pPr>
      <w:r>
        <w:rPr>
          <w:b/>
          <w:sz w:val="24"/>
        </w:rPr>
        <w:t>RES IA ELD UnB — Turma 1 | Grupo 08</w:t>
      </w:r>
    </w:p>
    <w:p>
      <w:pPr>
        <w:jc w:val="center"/>
      </w:pPr>
      <w:r>
        <w:t>Victor Barbosa da Silva • Keila Alves Ferreira • Thayná Gonçalves Dutra</w:t>
        <w:br/>
        <w:t>João Vitor Carvalho Barbosa • Vinícius César Sena Torres • Ketlyn Karen Silva de Morais</w:t>
      </w:r>
    </w:p>
    <w:p/>
    <w:p>
      <w:pPr>
        <w:pStyle w:val="Heading1"/>
      </w:pPr>
      <w:r>
        <w:t>Resumo executivo</w:t>
      </w:r>
    </w:p>
    <w:p>
      <w:r>
        <w:t>Foram analisados 100 dos 116 registros retornados pelo PubMed (86.2% de cobertura). Não há PMIDs nem títulos normalizados duplicados; todos os registros possuem ano e URL; 93% possuem DOI; e 2 não informam autores.</w:t>
      </w:r>
    </w:p>
    <w:p>
      <w:r>
        <w:t>A amostra cobre 1964–2026. Somente 39 títulos mencionam simultaneamente café e próstata, enquanto 12 não mencionam nenhum dos conceitos. Isso não comprova irrelevância, mas mostra a necessidade de filtrar o corpus antes do RAG.</w:t>
      </w:r>
    </w:p>
    <w:p>
      <w:r>
        <w:rPr>
          <w:b/>
        </w:rPr>
        <w:t>O corpus não contém rótulos de fake news e não permite, isoladamente, treinar ou avaliar um classificador supervisionado de veracidade.</w:t>
      </w:r>
    </w:p>
    <w:p>
      <w:pPr>
        <w:pStyle w:val="Heading1"/>
      </w:pPr>
      <w:r>
        <w:t>1. Contexto e métodos</w:t>
      </w:r>
    </w:p>
    <w:p>
      <w:pPr>
        <w:pStyle w:val="Heading2"/>
      </w:pPr>
      <w:r>
        <w:t>1.1 Objetivo</w:t>
      </w:r>
    </w:p>
    <w:p>
      <w:r>
        <w:t>Compreender o conjunto de artigos científicos que alimentará o MVP Fato ou Fake, avaliando cobertura, qualidade dos metadados, distribuição temporal, concentração por periódico e características textuais dos títulos.</w:t>
      </w:r>
    </w:p>
    <w:p>
      <w:pPr>
        <w:pStyle w:val="Heading2"/>
      </w:pPr>
      <w:r>
        <w:t>1.2 Unidade de análise e fonte</w:t>
      </w:r>
    </w:p>
    <w:p>
      <w:pPr>
        <w:pStyle w:val="ListBullet"/>
      </w:pPr>
      <w:r>
        <w:t>Grão: um registro bibliográfico por PMID.</w:t>
      </w:r>
    </w:p>
    <w:p>
      <w:pPr>
        <w:pStyle w:val="ListBullet"/>
      </w:pPr>
      <w:r>
        <w:t>Fonte oficial: PubMed, por meio das E-utilities do NCBI.</w:t>
      </w:r>
    </w:p>
    <w:p>
      <w:pPr>
        <w:pStyle w:val="ListBullet"/>
      </w:pPr>
      <w:r>
        <w:t>Consulta: ("Coffee"[MeSH Terms] OR coffee[Title/Abstract]) AND ("Prostatic Neoplasms"[MeSH Terms] OR "prostate cancer"[Title/Abstract])</w:t>
      </w:r>
    </w:p>
    <w:p>
      <w:pPr>
        <w:pStyle w:val="ListBullet"/>
      </w:pPr>
      <w:r>
        <w:t>Amostra: até 100 registros ordenados por relevância pelo PubMed.</w:t>
      </w:r>
    </w:p>
    <w:p>
      <w:pPr>
        <w:pStyle w:val="ListBullet"/>
      </w:pPr>
      <w:r>
        <w:t>Data da coleta: 2026-09-28T11:45:37.295122+00:00.</w:t>
      </w:r>
    </w:p>
    <w:p>
      <w:pPr>
        <w:pStyle w:val="ListBullet"/>
      </w:pPr>
      <w:r>
        <w:t>Snapshot: data/pubmed_cafe_cancer_prostata.csv.</w:t>
      </w:r>
    </w:p>
    <w:p>
      <w:pPr>
        <w:pStyle w:val="Heading2"/>
      </w:pPr>
      <w:r>
        <w:t>1.3 Premissas e limitações</w:t>
      </w:r>
    </w:p>
    <w:p>
      <w:pPr>
        <w:pStyle w:val="ListBullet"/>
      </w:pPr>
      <w:r>
        <w:t>A amostra por relevância não representa todo o PubMed nem permite inferências epidemiológicas.</w:t>
      </w:r>
    </w:p>
    <w:p>
      <w:pPr>
        <w:pStyle w:val="ListBullet"/>
      </w:pPr>
      <w:r>
        <w:t>Ausência de DOI pode ser legítima e não significa necessariamente erro.</w:t>
      </w:r>
    </w:p>
    <w:p>
      <w:pPr>
        <w:pStyle w:val="ListBullet"/>
      </w:pPr>
      <w:r>
        <w:t>A análise textual usa títulos; não substitui a leitura de resumos ou textos completos.</w:t>
      </w:r>
    </w:p>
    <w:p>
      <w:pPr>
        <w:pStyle w:val="ListBullet"/>
      </w:pPr>
      <w:r>
        <w:t>Frequência de termos indica temas recorrentes, não apoio ou contradição da alegação.</w:t>
      </w:r>
    </w:p>
    <w:p>
      <w:pPr>
        <w:pStyle w:val="ListBullet"/>
      </w:pPr>
      <w:r>
        <w:t>A consulta e o ranking podem mudar; o snapshot preserva esta execução.</w:t>
      </w:r>
    </w:p>
    <w:p>
      <w:pPr>
        <w:pStyle w:val="Heading1"/>
      </w:pPr>
      <w:r>
        <w:t>2. Visão geral e qualidade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535"/>
            <w:vAlign w:val="center"/>
            <w:shd w:fill="35618F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535"/>
            <w:vAlign w:val="center"/>
            <w:shd w:fill="35618F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Registros analisados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Colunas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Cobertura da consulta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86.2%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PMIDs duplicados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Títulos normalizados duplicados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Registros sem DOI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7 (7.0%)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Registros sem autores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2 (2.0%)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Período observado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1964–2026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10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0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Completude dos principais campos do corpus.</w:t>
      </w:r>
    </w:p>
    <w:p>
      <w:pPr>
        <w:spacing w:after="200"/>
      </w:pPr>
      <w:r>
        <w:t>PMID, título, periódico, data, ano e URL estão completos. DOI apresenta 93% de completude; a ausência limita cruzamentos entre bases, mas não invalida o registro PubMed.</w:t>
      </w:r>
    </w:p>
    <w:p>
      <w:pPr>
        <w:pStyle w:val="Heading1"/>
      </w:pPr>
      <w:r>
        <w:t>3. Dicionário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361"/>
            <w:vAlign w:val="center"/>
            <w:shd w:fill="35618F"/>
          </w:tcPr>
          <w:p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50"/>
            <w:vAlign w:val="center"/>
            <w:shd w:fill="35618F"/>
          </w:tcPr>
          <w:p>
            <w:r/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2494"/>
            <w:vAlign w:val="center"/>
            <w:shd w:fill="35618F"/>
          </w:tcPr>
          <w:p>
            <w:r/>
            <w:r>
              <w:rPr>
                <w:b/>
                <w:color w:val="FFFFFF"/>
                <w:sz w:val="14"/>
              </w:rPr>
              <w:t>Definição</w:t>
            </w:r>
          </w:p>
        </w:tc>
        <w:tc>
          <w:tcPr>
            <w:tcW w:type="dxa" w:w="1417"/>
            <w:vAlign w:val="center"/>
            <w:shd w:fill="35618F"/>
          </w:tcPr>
          <w:p>
            <w:r/>
            <w:r>
              <w:rPr>
                <w:b/>
                <w:color w:val="FFFFFF"/>
                <w:sz w:val="14"/>
              </w:rPr>
              <w:t>Formato</w:t>
            </w:r>
          </w:p>
        </w:tc>
        <w:tc>
          <w:tcPr>
            <w:tcW w:type="dxa" w:w="850"/>
            <w:vAlign w:val="center"/>
            <w:shd w:fill="35618F"/>
          </w:tcPr>
          <w:p>
            <w:r/>
            <w:r>
              <w:rPr>
                <w:b/>
                <w:color w:val="FFFFFF"/>
                <w:sz w:val="14"/>
              </w:rPr>
              <w:t>Ausentes</w:t>
            </w:r>
          </w:p>
        </w:tc>
        <w:tc>
          <w:tcPr>
            <w:tcW w:type="dxa" w:w="2494"/>
            <w:vAlign w:val="center"/>
            <w:shd w:fill="35618F"/>
          </w:tcPr>
          <w:p>
            <w:r/>
            <w:r>
              <w:rPr>
                <w:b/>
                <w:color w:val="FFFFFF"/>
                <w:sz w:val="14"/>
              </w:rPr>
              <w:t>Observação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pmid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Texto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Identificador único no PubMed.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Dígitos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Chave candidata; obrigatório.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Texto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Título da publicação.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Texto livre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Usado na EDA textual.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journal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Texto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Periódico informado.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Texto livre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Completo nesta amostra.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publication_date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Texto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Data original do PubMed.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Formato variável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Origem da coluna year.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year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Inteiro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Ano extraído da data.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AAAA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Entre 1800 e o ano da coleta.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author_count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Inteiro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Número de autores retornados.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Contagem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2*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Zero representa autoria ausente.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first_author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Texto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Primeiro autor retornado.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Sobrenome/iniciais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Ausente quando author_count é zero.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doi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Texto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Digital Object Identifier.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10.xxxx/...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Opcional; útil para interoperabilidade.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4"/>
              </w:rPr>
              <w:t>url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Texto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Link canônico do PubMed.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4"/>
              </w:rPr>
              <w:t>HTTPS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4"/>
              </w:rPr>
              <w:t>Domínio validado.</w:t>
            </w:r>
          </w:p>
        </w:tc>
      </w:tr>
    </w:tbl>
    <w:p/>
    <w:p>
      <w:r>
        <w:t>* Em author_count, dois valores zero representam ausência de metadados de autoria.</w:t>
      </w:r>
    </w:p>
    <w:p>
      <w:pPr>
        <w:pStyle w:val="Heading1"/>
      </w:pPr>
      <w:r>
        <w:t>4. Triagem temática aproximada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9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Presença dos conceitos centrais nos títulos.</w:t>
      </w:r>
    </w:p>
    <w:p>
      <w:pPr>
        <w:spacing w:after="200"/>
      </w:pPr>
      <w:r>
        <w:t>39 títulos mencionam ambos os conceitos; 12 não mencionam nenhum. Como a consulta também considera resumo e MeSH, esse resultado é um sinal de triagem, não uma prova de irrelevância.</w:t>
      </w:r>
    </w:p>
    <w:p>
      <w:pPr>
        <w:pStyle w:val="Heading1"/>
      </w:pPr>
      <w:r>
        <w:t>5. Distribuição temporal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47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7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Publicações recuperadas por ano.</w:t>
      </w:r>
    </w:p>
    <w:p>
      <w:pPr>
        <w:spacing w:after="200"/>
      </w:pPr>
      <w:r>
        <w:t>A amostra se estende de 1964 a 2026; 2013 concentra o maior número de registros (9). Anos sem registros são representados por zero.</w:t>
      </w:r>
    </w:p>
    <w:p>
      <w:pPr>
        <w:pStyle w:val="Heading1"/>
      </w:pPr>
      <w:r>
        <w:t>6. Concentração por periódico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9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Dez periódicos mais frequentes.</w:t>
      </w:r>
    </w:p>
    <w:p>
      <w:pPr>
        <w:spacing w:after="200"/>
      </w:pPr>
      <w:r>
        <w:t>Os dez periódicos mais frequentes concentram 38% da amostra, indicando que os registros estão distribuídos entre muitas fontes editoriais.</w:t>
      </w:r>
    </w:p>
    <w:p>
      <w:pPr>
        <w:pStyle w:val="Heading1"/>
      </w:pPr>
      <w:r>
        <w:t>7. Características textuais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78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78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Distribuição do tamanho dos títulos.</w:t>
      </w:r>
    </w:p>
    <w:p>
      <w:pPr>
        <w:spacing w:after="200"/>
      </w:pPr>
      <w:r>
        <w:t>Os títulos possuem mediana de 14 palavras e IQR de 6 palavras.</w:t>
      </w:r>
    </w:p>
    <w:p>
      <w:pPr>
        <w:pStyle w:val="Heading1"/>
      </w:pPr>
      <w:r>
        <w:t>8. Medidas de dispersão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Variável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n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Média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Mediana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DP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Variância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Mín.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Q1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Q3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Máx.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Amplitude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IQR</w:t>
            </w:r>
          </w:p>
        </w:tc>
        <w:tc>
          <w:tcPr>
            <w:tcW w:type="dxa" w:w="793"/>
            <w:vAlign w:val="center"/>
            <w:shd w:fill="35618F"/>
          </w:tcPr>
          <w:p>
            <w:r/>
            <w:r>
              <w:rPr>
                <w:b/>
                <w:color w:val="FFFFFF"/>
                <w:sz w:val="12"/>
              </w:rPr>
              <w:t>CV</w:t>
            </w:r>
          </w:p>
        </w:tc>
      </w:tr>
      <w:tr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Ano de publicação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2012.15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2015.50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12.44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154.73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1964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2011.00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2020.00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2026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62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9.00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—</w:t>
            </w:r>
          </w:p>
        </w:tc>
      </w:tr>
      <w:tr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Número de autores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98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7.08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6.00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6.37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40.53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3.00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9.00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47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46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6.00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89.9%</w:t>
            </w:r>
          </w:p>
        </w:tc>
      </w:tr>
      <w:tr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Palavras no título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14.10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14.00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4.27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18.27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11.00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17.00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28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23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6.00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30.3%</w:t>
            </w:r>
          </w:p>
        </w:tc>
      </w:tr>
      <w:tr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Artigos por ano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63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1.59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2.22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4.92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0.00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2.50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2.50</w:t>
            </w:r>
          </w:p>
        </w:tc>
        <w:tc>
          <w:tcPr>
            <w:tcW w:type="dxa" w:w="793"/>
            <w:vAlign w:val="center"/>
          </w:tcPr>
          <w:p>
            <w:r/>
            <w:r>
              <w:rPr>
                <w:b w:val="0"/>
                <w:sz w:val="12"/>
              </w:rPr>
              <w:t>139.8%</w:t>
            </w:r>
          </w:p>
        </w:tc>
      </w:tr>
    </w:tbl>
    <w:p/>
    <w:p>
      <w:pPr>
        <w:pStyle w:val="ListBullet"/>
      </w:pPr>
      <w:r>
        <w:t>Títulos: IQR de 6 palavras, indicando concentração moderada em torno da mediana de 14.</w:t>
      </w:r>
    </w:p>
    <w:p>
      <w:pPr>
        <w:pStyle w:val="ListBullet"/>
      </w:pPr>
      <w:r>
        <w:t>Autores: desvio-padrão de 6,37 e máximo de 47; poucos artigos com muitos autores ampliam a dispersão.</w:t>
      </w:r>
    </w:p>
    <w:p>
      <w:pPr>
        <w:pStyle w:val="ListBullet"/>
      </w:pPr>
      <w:r>
        <w:t>Artigos por ano: CV de 139,8%, coerente com muitos anos de volume baixo ou zero na amostra.</w:t>
      </w:r>
    </w:p>
    <w:p>
      <w:pPr>
        <w:pStyle w:val="Heading1"/>
      </w:pPr>
      <w:r>
        <w:t>9. Termos mais frequentes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21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2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Termos informativos mais frequentes nos títulos.</w:t>
      </w:r>
    </w:p>
    <w:p>
      <w:pPr>
        <w:spacing w:after="200"/>
      </w:pPr>
      <w:r>
        <w:t>Cancer, prostate, coffee, risk e consumption predominam, coerentes com a consulta. Frequência lexical não indica causalidade nem direção da evidência.</w:t>
      </w:r>
    </w:p>
    <w:p>
      <w:pPr>
        <w:pStyle w:val="Heading1"/>
      </w:pPr>
      <w:r>
        <w:t>10. Conclusões e próximos passos</w:t>
      </w:r>
    </w:p>
    <w:p>
      <w:pPr>
        <w:pStyle w:val="ListBullet"/>
      </w:pPr>
      <w:r>
        <w:t>O corpus possui boa integridade estrutural e forte rastreabilidade por PMID e URL.</w:t>
      </w:r>
    </w:p>
    <w:p>
      <w:pPr>
        <w:pStyle w:val="ListBullet"/>
      </w:pPr>
      <w:r>
        <w:t>A amostra cobre 86,2% dos resultados da consulta, mas o ranking por relevância impede tratá-la como censo.</w:t>
      </w:r>
    </w:p>
    <w:p>
      <w:pPr>
        <w:pStyle w:val="ListBullet"/>
      </w:pPr>
      <w:r>
        <w:t>A dispersão temporal e de autoria recomenda o uso de medidas robustas, como mediana e IQR.</w:t>
      </w:r>
    </w:p>
    <w:p>
      <w:pPr>
        <w:pStyle w:val="ListBullet"/>
      </w:pPr>
      <w:r>
        <w:t>A precisão temática precisa ser aprimorada com resumo, MeSH e ranking híbrido antes do RAG.</w:t>
      </w:r>
    </w:p>
    <w:p>
      <w:pPr>
        <w:pStyle w:val="ListBullet"/>
      </w:pPr>
      <w:r>
        <w:t>O corpus não possui rótulos de veracidade; será necessário criar um conjunto anotado e revisado por humanos para avaliar classificadores.</w:t>
      </w:r>
    </w:p>
    <w:p>
      <w:pPr>
        <w:pStyle w:val="ListBullet"/>
      </w:pPr>
      <w:r>
        <w:t>Próxima ampliação: coletar resumos, tipos de publicação, termos MeSH e indicadores metodológicos.</w:t>
      </w:r>
    </w:p>
    <w:p>
      <w:pPr>
        <w:pStyle w:val="Heading1"/>
      </w:pPr>
      <w:r>
        <w:t>Fonte e reprodutibilidade</w:t>
      </w:r>
    </w:p>
    <w:p>
      <w:r>
        <w:t>Fonte: PubMed / NCBI E-utilities — https://pubmed.ncbi.nlm.nih.gov/</w:t>
      </w:r>
    </w:p>
    <w:p>
      <w:r>
        <w:t>Consulta: ("Coffee"[MeSH Terms] OR coffee[Title/Abstract]) AND ("Prostatic Neoplasms"[MeSH Terms] OR "prostate cancer"[Title/Abstract])</w:t>
      </w:r>
    </w:p>
    <w:p>
      <w:r>
        <w:t>Coleta UTC: 2026-09-28T11:45:37.295122+00:00</w:t>
      </w:r>
    </w:p>
    <w:p>
      <w:r>
        <w:t>Notebook: notebooks/16_eda_pubmed.ipynb</w:t>
      </w:r>
    </w:p>
    <w:p>
      <w:r>
        <w:t>Dataset: data/pubmed_cafe_cancer_prostata.csv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61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61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6323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Exploratória de Dados — Corpus PubMed</dc:title>
  <dc:subject>EDA do corpus científico do projeto Fato ou Fake</dc:subject>
  <dc:creator>Grupo 08 — RES IA ELD UnB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