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1C10" w14:textId="77777777" w:rsidR="00280E8B" w:rsidRPr="00AA15F6" w:rsidRDefault="00280E8B" w:rsidP="00AA15F6">
      <w:pPr>
        <w:rPr>
          <w:rFonts w:asciiTheme="majorBidi" w:hAnsiTheme="majorBidi" w:cstheme="majorBidi"/>
          <w:b/>
          <w:bCs/>
          <w:sz w:val="40"/>
          <w:szCs w:val="40"/>
        </w:rPr>
      </w:pPr>
      <w:r w:rsidRPr="00AA15F6">
        <w:rPr>
          <w:rFonts w:asciiTheme="majorBidi" w:hAnsiTheme="majorBidi" w:cstheme="majorBidi"/>
          <w:b/>
          <w:bCs/>
          <w:sz w:val="40"/>
          <w:szCs w:val="40"/>
        </w:rPr>
        <w:t>Priorização de ajuda humanitária por perfis de países</w:t>
      </w:r>
    </w:p>
    <w:p w14:paraId="4D9185A7" w14:textId="1E2FD8AB" w:rsidR="00280E8B" w:rsidRPr="00AA15F6" w:rsidRDefault="00280E8B" w:rsidP="00280E8B">
      <w:pPr>
        <w:pBdr>
          <w:bottom w:val="single" w:sz="8" w:space="4" w:color="1F3A5F"/>
        </w:pBdr>
        <w:spacing w:after="160"/>
        <w:rPr>
          <w:rFonts w:asciiTheme="majorBidi" w:hAnsiTheme="majorBidi" w:cstheme="majorBidi"/>
          <w:color w:val="555555"/>
          <w:sz w:val="20"/>
          <w:szCs w:val="20"/>
        </w:rPr>
      </w:pPr>
      <w:r w:rsidRPr="00AA15F6">
        <w:rPr>
          <w:rFonts w:asciiTheme="majorBidi" w:hAnsiTheme="majorBidi" w:cstheme="majorBidi"/>
          <w:color w:val="555555"/>
          <w:sz w:val="20"/>
          <w:szCs w:val="20"/>
        </w:rPr>
        <w:t xml:space="preserve">Projeto 1 · Mineração de Dados · PUC-SP </w:t>
      </w:r>
    </w:p>
    <w:p w14:paraId="62C12A76" w14:textId="77777777" w:rsidR="00280E8B" w:rsidRPr="00AA15F6" w:rsidRDefault="00280E8B" w:rsidP="00280E8B">
      <w:pPr>
        <w:pBdr>
          <w:bottom w:val="single" w:sz="8" w:space="4" w:color="1F3A5F"/>
        </w:pBdr>
        <w:spacing w:after="160"/>
        <w:rPr>
          <w:rFonts w:asciiTheme="majorBidi" w:hAnsiTheme="majorBidi" w:cstheme="majorBidi"/>
          <w:color w:val="555555"/>
          <w:sz w:val="20"/>
          <w:szCs w:val="20"/>
        </w:rPr>
      </w:pPr>
      <w:r w:rsidRPr="00AA15F6">
        <w:rPr>
          <w:rFonts w:asciiTheme="majorBidi" w:hAnsiTheme="majorBidi" w:cstheme="majorBidi"/>
          <w:color w:val="555555"/>
          <w:sz w:val="20"/>
          <w:szCs w:val="20"/>
        </w:rPr>
        <w:t>João Pedro Coelho, Kaique Munhoz, Théo Seraphim e Yuri Nicolav</w:t>
      </w:r>
    </w:p>
    <w:p w14:paraId="2786E60F" w14:textId="77777777" w:rsidR="00280E8B" w:rsidRPr="00AA15F6" w:rsidRDefault="00280E8B" w:rsidP="00280E8B">
      <w:pPr>
        <w:pBdr>
          <w:bottom w:val="single" w:sz="8" w:space="4" w:color="1F3A5F"/>
        </w:pBdr>
        <w:spacing w:after="160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color w:val="555555"/>
          <w:sz w:val="20"/>
          <w:szCs w:val="20"/>
        </w:rPr>
        <w:t>Orientador: Giovani Vieira</w:t>
      </w:r>
    </w:p>
    <w:p w14:paraId="7D348438" w14:textId="77777777" w:rsidR="00280E8B" w:rsidRPr="00AA15F6" w:rsidRDefault="00280E8B" w:rsidP="00AA15F6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1. Resumo e recomendação</w:t>
      </w:r>
    </w:p>
    <w:p w14:paraId="62C15014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Agrupamos os 167 países da base em quatro perfis de necessidade, a partir de quatro indicadores: mortalidade infantil, renda per capita, inflação e extrema pobreza. Com base nesse resultado, recomendamos concentrar o fundo no Perfil 1, que reúne 48 países com mediana de 88,75 mortes por mil nascimentos, renda mediana de US$ 1.860 e 55,45% da população em extrema pobreza. Dentro desse perfil, um índice de necessidade ordena os países, e os dez primeiros são Congo, Nigéria, Serra Leoa, Burundi, Angola, Guiné, Haiti, Mauritânia, Malawi e Timor-Leste. Os demais perfis pedem estratégias diferentes, descritas na seção 8.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100"/>
        <w:gridCol w:w="1500"/>
        <w:gridCol w:w="1500"/>
        <w:gridCol w:w="1500"/>
        <w:gridCol w:w="1738"/>
      </w:tblGrid>
      <w:tr w:rsidR="00280E8B" w:rsidRPr="00AA15F6" w14:paraId="245DD0E4" w14:textId="77777777" w:rsidTr="00C636EF">
        <w:trPr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9F34C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770E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Países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2C334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Mort. infantil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77CB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Renda (US$)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7E4ED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Inflação (%)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62247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Extrema pobreza (%)</w:t>
            </w:r>
          </w:p>
        </w:tc>
      </w:tr>
      <w:tr w:rsidR="00280E8B" w:rsidRPr="00AA15F6" w14:paraId="3143B106" w14:textId="77777777" w:rsidTr="00C636EF"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37F2A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 – Prioridade crítica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23AE8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ACF8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88,75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7D0E6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1.860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5C82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9,09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BFCF3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55,45</w:t>
            </w:r>
          </w:p>
        </w:tc>
      </w:tr>
      <w:tr w:rsidR="00280E8B" w:rsidRPr="00AA15F6" w14:paraId="00502EEF" w14:textId="77777777" w:rsidTr="00C636EF"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AF63E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 – Vulnerabilidade moderada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571CE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BB809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20,5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0270F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9.410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7329A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4,34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D3B14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32,35</w:t>
            </w:r>
          </w:p>
        </w:tc>
      </w:tr>
      <w:tr w:rsidR="00280E8B" w:rsidRPr="00AA15F6" w14:paraId="699B6732" w14:textId="77777777" w:rsidTr="00C636EF"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530F0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 – Renda média-alta com instabilidade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31DCF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B8662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16,6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F44EE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18.000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4248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15,6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9D5C9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25</w:t>
            </w:r>
          </w:p>
        </w:tc>
      </w:tr>
      <w:tr w:rsidR="00280E8B" w:rsidRPr="00AA15F6" w14:paraId="442EB736" w14:textId="77777777" w:rsidTr="00C636EF"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2C794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 – Baixa necessidade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F272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DA0FD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5EF24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33.200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3FAD6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1,1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ADDE1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8,15</w:t>
            </w:r>
          </w:p>
        </w:tc>
      </w:tr>
    </w:tbl>
    <w:p w14:paraId="4F376E7B" w14:textId="77777777" w:rsidR="00280E8B" w:rsidRPr="00AA15F6" w:rsidRDefault="00280E8B" w:rsidP="00280E8B">
      <w:pPr>
        <w:spacing w:before="40" w:after="100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i/>
          <w:iCs/>
          <w:color w:val="555555"/>
          <w:sz w:val="17"/>
          <w:szCs w:val="17"/>
        </w:rPr>
        <w:t>Medianas por perfil.</w:t>
      </w:r>
    </w:p>
    <w:p w14:paraId="1C9632B0" w14:textId="77777777" w:rsidR="00280E8B" w:rsidRPr="00AA15F6" w:rsidRDefault="00280E8B" w:rsidP="00AA15F6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2. Dados e qualidade</w:t>
      </w:r>
    </w:p>
    <w:p w14:paraId="492340C9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A base contém 167 países e 17 variáveis numéricas, com 15 células vazias. Ao inspecioná-la, percebemos que os problemas iam além dos faltantes: 11 células traziam códigos-sentinela (99999 ou 100000 no lugar de um valor real, como a renda de Bangladesh e a inflação da Turquia) e outras 9 continham valores fisicamente impossíveis. Convertemos todos esses casos em faltantes, o que elevou o total para 35 células vazias. Os valores extremos que, apesar de incomuns, são plausíveis foram mantidos, pois correspondem a situações reais.</w:t>
      </w:r>
    </w:p>
    <w:p w14:paraId="6879375C" w14:textId="77777777" w:rsidR="00280E8B" w:rsidRPr="00AA15F6" w:rsidRDefault="00280E8B" w:rsidP="00AA15F6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3. Indicadores utilizados</w:t>
      </w:r>
    </w:p>
    <w:p w14:paraId="0D4DA42F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b/>
          <w:bCs/>
        </w:rPr>
        <w:t xml:space="preserve">Escolhas: </w:t>
      </w:r>
      <w:r w:rsidRPr="00AA15F6">
        <w:rPr>
          <w:rFonts w:asciiTheme="majorBidi" w:hAnsiTheme="majorBidi" w:cstheme="majorBidi"/>
        </w:rPr>
        <w:t>mortalidade infantil (child_mort), renda per capita (income), inflação (inflation) e extrema pobreza (extrema_pobreza_pct).</w:t>
      </w:r>
    </w:p>
    <w:p w14:paraId="76A057CB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  <w:b/>
          <w:bCs/>
        </w:rPr>
      </w:pPr>
      <w:r w:rsidRPr="00AA15F6">
        <w:rPr>
          <w:rFonts w:asciiTheme="majorBidi" w:hAnsiTheme="majorBidi" w:cstheme="majorBidi"/>
          <w:b/>
          <w:bCs/>
        </w:rPr>
        <w:t xml:space="preserve">Razões: </w:t>
      </w:r>
      <w:r w:rsidRPr="00AA15F6">
        <w:rPr>
          <w:rFonts w:asciiTheme="majorBidi" w:hAnsiTheme="majorBidi" w:cstheme="majorBidi"/>
        </w:rPr>
        <w:t>Escolhemos quatro indicadores que cobrissem dimensões distintas da necessidade humanitária: saúde, capacidade econômica, estabilidade de preços e privação material. A mortalidade infantil representa todo o bloco social, já que se correlaciona fortemente com saneamento, energia, médicos e alfabetização, e incluir essas variáveis apenas repetiria a mesma informação. A renda resume a dimensão econômica e torna o PIB per capita dispensável. A inflação entrou por ser a única variável com pouca redundância em relação às demais, o que nos permite identificar países de renda média em crise de preços. O comércio exterior e o gasto em saúde ficaram de fora porque não refletem diretamente a necessidade.</w:t>
      </w:r>
    </w:p>
    <w:p w14:paraId="0054F3D9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b/>
          <w:bCs/>
        </w:rPr>
        <w:t xml:space="preserve">Limitação assumida: </w:t>
      </w:r>
      <w:r w:rsidRPr="00AA15F6">
        <w:rPr>
          <w:rFonts w:asciiTheme="majorBidi" w:hAnsiTheme="majorBidi" w:cstheme="majorBidi"/>
        </w:rPr>
        <w:t>Mortalidade, renda e pobreza são muito correlacionadas entre si, com coeficientes entre 0,87 e 0,94 em módulo. Por isso, os grupos se separam sobretudo ao longo de um único eixo de desenvolvimento, e a inflação funciona como um segundo eixo que refina essa divisão. Quando substituímos o quarto indicador por outros nos testes de robustez, a estrutura geral se manteve.</w:t>
      </w:r>
    </w:p>
    <w:p w14:paraId="561B6AED" w14:textId="77777777" w:rsidR="00280E8B" w:rsidRPr="00AA15F6" w:rsidRDefault="00280E8B" w:rsidP="00280E8B">
      <w:pPr>
        <w:spacing w:before="60" w:after="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A9468EB" wp14:editId="3A89ED4B">
            <wp:extent cx="5715000" cy="2238375"/>
            <wp:effectExtent l="0" t="0" r="0" b="0"/>
            <wp:docPr id="1" name="Figura 1. Correlação de Spearman: 17 variáveis (esquerda) e os 4 indicadores escolhidos (direita)." descr="Figura 1. Correlação de Spearman: 17 variáveis (esquerda) e os 4 indicadores escolhidos (direita)." title="Figura 1. Correlação de Spearman: 17 variáveis (esquerda) e os 4 indicadores escolhidos (direi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EE8C" w14:textId="77777777" w:rsidR="00280E8B" w:rsidRPr="00AA15F6" w:rsidRDefault="00280E8B" w:rsidP="00280E8B">
      <w:pPr>
        <w:spacing w:after="1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i/>
          <w:iCs/>
          <w:color w:val="555555"/>
          <w:sz w:val="17"/>
          <w:szCs w:val="17"/>
        </w:rPr>
        <w:t>Figura 1. Correlação de Spearman: 17 variáveis e os 4 indicadores escolhidos.</w:t>
      </w:r>
    </w:p>
    <w:p w14:paraId="3FB9761E" w14:textId="77777777" w:rsidR="00AA15F6" w:rsidRPr="00AA15F6" w:rsidRDefault="00AA15F6" w:rsidP="00AA15F6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4. Preenchimento dos faltantes</w:t>
      </w:r>
    </w:p>
    <w:p w14:paraId="235C203D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Entre os quatro indicadores, faltavam 7 valores: 4 surgiram da limpeza descrita na seção anterior e 3 já estavam vazios na base original. Para preenchê-los, usamos o KNNImputer (k = 5), que procura os vizinhos mais próximos considerando as 17 variáveis, já transformadas e padronizadas. Como essas variáveis são bastante correlacionadas, os vizinhos tendem a refletir bem o perfil socioeconômico de cada país.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800"/>
        <w:gridCol w:w="1800"/>
        <w:gridCol w:w="1838"/>
      </w:tblGrid>
      <w:tr w:rsidR="00280E8B" w:rsidRPr="00AA15F6" w14:paraId="45149654" w14:textId="77777777" w:rsidTr="00C636EF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D7DB5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País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C4F69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F5400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KNN (usado)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64A3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Mediana global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9B4A9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Diferença</w:t>
            </w:r>
          </w:p>
        </w:tc>
      </w:tr>
      <w:tr w:rsidR="00280E8B" w:rsidRPr="00AA15F6" w14:paraId="168501C3" w14:textId="77777777" w:rsidTr="00C636EF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7F3AD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Bangladesh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C018D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Renda per capita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43F90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5.458,75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739C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10.180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03F31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46%</w:t>
            </w:r>
          </w:p>
        </w:tc>
      </w:tr>
      <w:tr w:rsidR="00280E8B" w:rsidRPr="00AA15F6" w14:paraId="405E2557" w14:textId="77777777" w:rsidTr="00C636EF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149D8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Chile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A9931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Mortalidade infantil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3CFB5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11,58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4239A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19,3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6A469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40%</w:t>
            </w:r>
          </w:p>
        </w:tc>
      </w:tr>
      <w:tr w:rsidR="00280E8B" w:rsidRPr="00AA15F6" w14:paraId="399A125F" w14:textId="77777777" w:rsidTr="00C636EF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B423C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8EA82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Extrema pobreza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98106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36,15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7B080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29,5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AF8DE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23%</w:t>
            </w:r>
          </w:p>
        </w:tc>
      </w:tr>
      <w:tr w:rsidR="00280E8B" w:rsidRPr="00AA15F6" w14:paraId="46072DCB" w14:textId="77777777" w:rsidTr="00C636EF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FA96A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Jordan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33EB8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Inflação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9F250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2,72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195E4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5,14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039D2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47%</w:t>
            </w:r>
          </w:p>
        </w:tc>
      </w:tr>
      <w:tr w:rsidR="00280E8B" w:rsidRPr="00AA15F6" w14:paraId="4E45DA2B" w14:textId="77777777" w:rsidTr="00C636EF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48BEE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Mali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8F25E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Extrema pobreza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6CFDF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62,84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1820B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29,5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6A648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113%</w:t>
            </w:r>
          </w:p>
        </w:tc>
      </w:tr>
      <w:tr w:rsidR="00280E8B" w:rsidRPr="00AA15F6" w14:paraId="1023D935" w14:textId="77777777" w:rsidTr="00C636EF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F7E6F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Tanzania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5EDC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Mortalidade infantil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E0566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84,46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1EE0C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19,3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633F3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338%</w:t>
            </w:r>
          </w:p>
        </w:tc>
      </w:tr>
      <w:tr w:rsidR="00280E8B" w:rsidRPr="00AA15F6" w14:paraId="6E939E1E" w14:textId="77777777" w:rsidTr="00C636EF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07755" w14:textId="77777777" w:rsidR="00280E8B" w:rsidRPr="00AA15F6" w:rsidRDefault="00280E8B" w:rsidP="00C636EF">
            <w:pPr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Turkey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ED0BF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Inflação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AF332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7,98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0ADC3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5,14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7018E" w14:textId="77777777" w:rsidR="00280E8B" w:rsidRPr="00AA15F6" w:rsidRDefault="00280E8B" w:rsidP="00C636EF">
            <w:pPr>
              <w:jc w:val="center"/>
              <w:rPr>
                <w:rFonts w:asciiTheme="majorBidi" w:hAnsiTheme="majorBidi" w:cstheme="majorBidi"/>
              </w:rPr>
            </w:pPr>
            <w:r w:rsidRPr="00AA15F6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55%</w:t>
            </w:r>
          </w:p>
        </w:tc>
      </w:tr>
    </w:tbl>
    <w:p w14:paraId="3025D6B7" w14:textId="77777777" w:rsidR="00280E8B" w:rsidRPr="00AA15F6" w:rsidRDefault="00280E8B" w:rsidP="00280E8B">
      <w:pPr>
        <w:spacing w:after="80"/>
        <w:rPr>
          <w:rFonts w:asciiTheme="majorBidi" w:hAnsiTheme="majorBidi" w:cstheme="majorBidi"/>
        </w:rPr>
      </w:pPr>
    </w:p>
    <w:p w14:paraId="36AB0106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b/>
          <w:bCs/>
        </w:rPr>
        <w:t xml:space="preserve">Decisão: </w:t>
      </w:r>
      <w:r w:rsidRPr="00AA15F6">
        <w:rPr>
          <w:rFonts w:asciiTheme="majorBidi" w:hAnsiTheme="majorBidi" w:cstheme="majorBidi"/>
        </w:rPr>
        <w:t>A mediana global deixaria a Tanzânia com mortalidade infantil de 19 e o Mali com 29,5% de extrema pobreza, valores irrealistas para o contexto de ambos. O KNN estimou 84 e 63%, números bem mais coerentes com os de países semelhantes. Descartar os sete países afetados também não era uma opção razoável, já que cada um deles é uma unidade de decisão para a diretoria.</w:t>
      </w:r>
    </w:p>
    <w:p w14:paraId="59531526" w14:textId="77777777" w:rsidR="00280E8B" w:rsidRPr="00AA15F6" w:rsidRDefault="00280E8B" w:rsidP="00AA15F6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5. Assimetria</w:t>
      </w:r>
    </w:p>
    <w:p w14:paraId="635F4811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Sim, foi necessário tratar a assimetria. Antes da transformação, os coeficientes eram 1,45 para a mortalidade, 2,23 para a renda, 5,34 para a inflação e 0,29 para a pobreza. Aplicamos a transformação de Yeo-Johnson aos quatro indicadores, e os valores passaram a 0,02, −0,04, 0,17 e −0,21, respectivamente. Escolhemos esse método no lugar do logaritmo porque a inflação tem valores negativos e o log retornava erro. Como a transformação de Yeo-Johnson não foi vista em aula, precisamos pesquisar como lidar com valores negativos até chegarmos a ela. Sem esse passo, os poucos países muito ricos ou com hiperinflação esticariam a escala, e os países pobres, que são o foco da ONG, ficariam todos concentrados em uma ponta.</w:t>
      </w:r>
    </w:p>
    <w:p w14:paraId="595C9847" w14:textId="77777777" w:rsidR="00280E8B" w:rsidRPr="00AA15F6" w:rsidRDefault="00280E8B" w:rsidP="00280E8B">
      <w:pPr>
        <w:spacing w:before="60" w:after="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8611BA1" wp14:editId="206DD0F9">
            <wp:extent cx="5715000" cy="2409825"/>
            <wp:effectExtent l="0" t="0" r="0" b="0"/>
            <wp:docPr id="1853847384" name="Figura 2. Distribuição dos indicadores antes (cinza) e depois (azul) da transformação Yeo-Johnson." descr="Figura 2. Distribuição dos indicadores antes (cinza) e depois (azul) da transformação Yeo-Johnson." title="Figura 2. Distribuição dos indicadores antes (cinza) e depois (azul) da transformação Yeo-John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CF68" w14:textId="77777777" w:rsidR="00280E8B" w:rsidRPr="00AA15F6" w:rsidRDefault="00280E8B" w:rsidP="00280E8B">
      <w:pPr>
        <w:spacing w:after="1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i/>
          <w:iCs/>
          <w:color w:val="555555"/>
          <w:sz w:val="17"/>
          <w:szCs w:val="17"/>
        </w:rPr>
        <w:t>Figura 2. Distribuição dos indicadores antes e depois da transformação.</w:t>
      </w:r>
    </w:p>
    <w:p w14:paraId="6103AD09" w14:textId="77777777" w:rsidR="00280E8B" w:rsidRPr="00AA15F6" w:rsidRDefault="00280E8B" w:rsidP="00AA15F6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6. Outliers, escalonamento e métrica de distância</w:t>
      </w:r>
    </w:p>
    <w:p w14:paraId="65120D75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b/>
          <w:bCs/>
        </w:rPr>
        <w:t>Identificação e tratamento de outliers</w:t>
      </w:r>
      <w:r w:rsidRPr="00AA15F6">
        <w:rPr>
          <w:rFonts w:asciiTheme="majorBidi" w:hAnsiTheme="majorBidi" w:cstheme="majorBidi"/>
        </w:rPr>
        <w:t>: Aplicamos o método do IQR. Depois da transformação de Yeo-Johnson, restaram apenas quatro outliers, todos na inflação: Irlanda, Nigéria, Seicheles e Venezuela. Optamos por não removê-los, pois Nigéria e Venezuela representam instabilidades reais, justamente o tipo de caso que a diretoria precisa avaliar. Em vez disso, limitamos os valores extremos à fronteira do IQR (winsorização), o que impediu que esses países dominassem o cálculo das distâncias.</w:t>
      </w:r>
    </w:p>
    <w:p w14:paraId="009B1D85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b/>
          <w:bCs/>
        </w:rPr>
        <w:t>Escalonamento</w:t>
      </w:r>
      <w:r w:rsidRPr="00AA15F6">
        <w:rPr>
          <w:rFonts w:asciiTheme="majorBidi" w:hAnsiTheme="majorBidi" w:cstheme="majorBidi"/>
        </w:rPr>
        <w:t>: Padronizamos os indicadores por z-score. Sem isso, a renda, que está na casa dos milhares, dominaria a distância euclidiana em relação à inflação, que fica na casa das unidades. Também refizemos o agrupamento sem a transformação de Yeo-Johnson e sem o tratamento dos outliers, mantendo apenas o z-score, e o resultado mudou bastante (ARI = 0,565 em relação ao agrupamento final), o que indica que essas etapas fazem diferença.</w:t>
      </w:r>
    </w:p>
    <w:p w14:paraId="59C82CE4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b/>
          <w:bCs/>
        </w:rPr>
        <w:t>Métrica de distância:</w:t>
      </w:r>
      <w:r w:rsidRPr="00AA15F6">
        <w:rPr>
          <w:rFonts w:asciiTheme="majorBidi" w:hAnsiTheme="majorBidi" w:cstheme="majorBidi"/>
        </w:rPr>
        <w:t xml:space="preserve"> Utilizamos a distância euclidiana sobre as variáveis padronizadas. Ela é adequada a indicadores contínuos e é a distância necessária para o K-Means e para o método de Ward. Como verificação, comparamos com a distância de Manhattan no agrupamento hierárquico (ligação average) e obtivemos partições parecidas (ARI = 0,80), de modo que a escolha da métrica não alterou de forma relevante o resultado.</w:t>
      </w:r>
    </w:p>
    <w:p w14:paraId="6F6EFBCC" w14:textId="7E96CCDC" w:rsidR="00280E8B" w:rsidRPr="00AA15F6" w:rsidRDefault="00AA15F6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7.Agrupamento e escolha de k</w:t>
      </w:r>
    </w:p>
    <w:p w14:paraId="1FE63B9C" w14:textId="77777777" w:rsidR="00280E8B" w:rsidRPr="00AA15F6" w:rsidRDefault="00280E8B" w:rsidP="00280E8B">
      <w:pPr>
        <w:spacing w:before="60" w:after="20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Rodamos o K-</w:t>
      </w:r>
      <w:proofErr w:type="spellStart"/>
      <w:r w:rsidRPr="00AA15F6">
        <w:rPr>
          <w:rFonts w:asciiTheme="majorBidi" w:hAnsiTheme="majorBidi" w:cstheme="majorBidi"/>
        </w:rPr>
        <w:t>Means</w:t>
      </w:r>
      <w:proofErr w:type="spellEnd"/>
      <w:r w:rsidRPr="00AA15F6">
        <w:rPr>
          <w:rFonts w:asciiTheme="majorBidi" w:hAnsiTheme="majorBidi" w:cstheme="majorBidi"/>
        </w:rPr>
        <w:t xml:space="preserve"> para valores de k entre 2 e 8, com 50 inicializações em cada um. A maior silhueta apareceu em k = 2 (0,45), mas essa divisão apenas separa países pobres de ricos, o que não atende ao objetivo do projeto. Ficamos com k = 4 (silhueta de 0,365). A perda em relação a k = 3 (0,378) é pequena, e com quatro grupos conseguimos isolar os países de renda média-alta que enfrentam inflação elevada, como Venezuela, Turquia, Irã e Rússia, para os quais faz sentido uma estratégia própria.</w:t>
      </w:r>
    </w:p>
    <w:p w14:paraId="5E8982C5" w14:textId="77777777" w:rsidR="00280E8B" w:rsidRPr="00AA15F6" w:rsidRDefault="00280E8B" w:rsidP="00280E8B">
      <w:pPr>
        <w:spacing w:before="60" w:after="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noProof/>
        </w:rPr>
        <w:drawing>
          <wp:inline distT="0" distB="0" distL="0" distR="0" wp14:anchorId="2FF69FFF" wp14:editId="2364D4AD">
            <wp:extent cx="5715000" cy="1838325"/>
            <wp:effectExtent l="0" t="0" r="0" b="0"/>
            <wp:docPr id="1013776886" name="Figura 3. Método do cotovelo e silhueta para K-Means e para o corte do dendrograma de Ward." descr="Figura 3. Método do cotovelo e silhueta para K-Means e para o corte do dendrograma de Ward." title="Figura 3. Método do cotovelo e silhueta para K-Means e para o corte do dendrograma de W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BB1F" w14:textId="77777777" w:rsidR="00280E8B" w:rsidRPr="00AA15F6" w:rsidRDefault="00280E8B" w:rsidP="00280E8B">
      <w:pPr>
        <w:spacing w:after="1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i/>
          <w:iCs/>
          <w:color w:val="555555"/>
          <w:sz w:val="17"/>
          <w:szCs w:val="17"/>
        </w:rPr>
        <w:lastRenderedPageBreak/>
        <w:t>Figura 3. Método do cotovelo e silhueta para K-Means e o corte do dendrograma de Ward</w:t>
      </w:r>
    </w:p>
    <w:p w14:paraId="05998243" w14:textId="77777777" w:rsidR="00280E8B" w:rsidRPr="00AA15F6" w:rsidRDefault="00280E8B" w:rsidP="00280E8B">
      <w:pPr>
        <w:spacing w:before="60" w:after="20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No agrupamento hierárquico, utilizamos o método de Ward com distância euclidiana, que resultou em silhueta de 0,341 para k = 4. Os grupos de maior necessidade (Perfil 1) e de menor necessidade (Perfil 4) formaram ramos bem definidos, e o corte em quatro grupos produziu conjuntos de 73, 43, 42 e 9 países. As duas soluções concordaram em boa parte (ARI = 0,658), com divergências concentradas nas fronteiras entre os perfis. Como o K-Means se mostrou estável (ARI mínimo de 0,862 em 10 sementes diferentes) e gera centros mais fáceis de interpretar, adotamos esse método como modelo final.</w:t>
      </w:r>
    </w:p>
    <w:p w14:paraId="6D26EA53" w14:textId="77777777" w:rsidR="00280E8B" w:rsidRPr="00AA15F6" w:rsidRDefault="00280E8B" w:rsidP="00280E8B">
      <w:pPr>
        <w:spacing w:before="60" w:after="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noProof/>
        </w:rPr>
        <w:drawing>
          <wp:inline distT="0" distB="0" distL="0" distR="0" wp14:anchorId="6E3FBEEC" wp14:editId="1E8C47EA">
            <wp:extent cx="5715000" cy="2152650"/>
            <wp:effectExtent l="0" t="0" r="0" b="0"/>
            <wp:docPr id="1085885532" name="Figura 4. Dendrograma (Ward, distância euclidiana) com corte em 4 grupos." descr="Figura 4. Dendrograma (Ward, distância euclidiana) com corte em 4 grupos." title="Figura 4. Dendrograma (Ward, distância euclidiana) com corte em 4 grup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75E1" w14:textId="77777777" w:rsidR="00280E8B" w:rsidRPr="00AA15F6" w:rsidRDefault="00280E8B" w:rsidP="00280E8B">
      <w:pPr>
        <w:spacing w:after="1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i/>
          <w:iCs/>
          <w:color w:val="555555"/>
          <w:sz w:val="17"/>
          <w:szCs w:val="17"/>
        </w:rPr>
        <w:t>Figura 4. Dendrograma com corte em 4 grupos</w:t>
      </w:r>
    </w:p>
    <w:p w14:paraId="5218E845" w14:textId="105900F0" w:rsidR="00AA15F6" w:rsidRPr="00AA15F6" w:rsidRDefault="00AA15F6" w:rsidP="00AA15F6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8.Perfis e estratégia sugerida</w:t>
      </w:r>
    </w:p>
    <w:p w14:paraId="252BB5ED" w14:textId="77777777" w:rsidR="00280E8B" w:rsidRPr="00AA15F6" w:rsidRDefault="00280E8B" w:rsidP="00280E8B">
      <w:pPr>
        <w:spacing w:after="100" w:line="264" w:lineRule="auto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Ordenamos os perfis por um índice de necessidade, calculado como a média dos quatro indicadores padronizados, cada um com o sinal que representa a pior situação (mais mortalidade, menos renda, mais inflação e mais pobreza). A lista completa de países, com o índice de cada um, está no arquivo resultado_paises.csv.</w:t>
      </w:r>
    </w:p>
    <w:p w14:paraId="18EF1CB1" w14:textId="77777777" w:rsidR="00280E8B" w:rsidRPr="00AA15F6" w:rsidRDefault="00280E8B" w:rsidP="00280E8B">
      <w:pPr>
        <w:spacing w:before="60" w:after="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noProof/>
        </w:rPr>
        <w:drawing>
          <wp:inline distT="0" distB="0" distL="0" distR="0" wp14:anchorId="06AFB04E" wp14:editId="1D0B6114">
            <wp:extent cx="5715000" cy="2162175"/>
            <wp:effectExtent l="0" t="0" r="0" b="0"/>
            <wp:docPr id="1319185367" name="Figura 5. Países por perfil: renda × mortalidade infantil (esq.) e renda × inflação (dir.)." descr="Figura 5. Países por perfil: renda × mortalidade infantil (esq.) e renda × inflação (dir.)." title="Figura 5. Países por perfil: renda × mortalidade infantil (esq.) e renda × inflação (dir.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72BE" w14:textId="77777777" w:rsidR="00280E8B" w:rsidRPr="00AA15F6" w:rsidRDefault="00280E8B" w:rsidP="00280E8B">
      <w:pPr>
        <w:spacing w:after="120"/>
        <w:jc w:val="center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  <w:i/>
          <w:iCs/>
          <w:color w:val="555555"/>
          <w:sz w:val="17"/>
          <w:szCs w:val="17"/>
        </w:rPr>
        <w:t xml:space="preserve">Figura 5. Países por perfil: renda x mortalidade infantil e renda x inflação </w:t>
      </w:r>
    </w:p>
    <w:p w14:paraId="4C3A9E97" w14:textId="77777777" w:rsidR="00280E8B" w:rsidRPr="00AA15F6" w:rsidRDefault="00280E8B" w:rsidP="00280E8B">
      <w:pPr>
        <w:spacing w:after="100" w:line="264" w:lineRule="auto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Com isso, chegamos a quatro perfis para orientar a alocação do fundo. O Perfil 1 reúne 48 países em situação crítica e deve receber apoio direto e imediato, sobretudo em saúde e saneamento. O Perfil 2, com 48 países de vulnerabilidade moderada, pede cofinanciamento e suporte técnico. O Perfil 3 é formado por 25 países de renda média-alta com inflação elevada, que devem receber apenas auxílio pontual. Por fim, o Perfil 4 tem 46 países de baixa necessidade e renda alta, e por isso não recebe repasses.</w:t>
      </w:r>
    </w:p>
    <w:p w14:paraId="7FE2F033" w14:textId="77777777" w:rsidR="00280E8B" w:rsidRPr="00AA15F6" w:rsidRDefault="00280E8B" w:rsidP="00280E8B">
      <w:pPr>
        <w:spacing w:after="100" w:line="264" w:lineRule="auto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 xml:space="preserve">Perfil 1, países: Afghanistan, Angola, Benin, Burkina Faso, Burundi, Cameroon, Central African Republic, Chad, Comoros, Congo, Dem. Rep., Congo, Rep., Cote d'Ivoire, Eritrea, Gambia, Ghana, Guinea, Guinea-Bissau, Haiti, India, Kenya, Kiribati, Kyrgyz Republic, Lao, Lesotho, Liberia, Madagascar, Malawi, Mali, Mauritania, Mozambique, Myanmar, Nepal, Niger, Nigeria, Pakistan, </w:t>
      </w:r>
      <w:r w:rsidRPr="00AA15F6">
        <w:rPr>
          <w:rFonts w:asciiTheme="majorBidi" w:hAnsiTheme="majorBidi" w:cstheme="majorBidi"/>
        </w:rPr>
        <w:lastRenderedPageBreak/>
        <w:t xml:space="preserve">Rwanda, Senegal, Sierra Leone, Solomon Islands, Sudan, Tajikistan, Tanzania, Timor-Leste, Togo, Uganda, </w:t>
      </w:r>
      <w:proofErr w:type="spellStart"/>
      <w:r w:rsidRPr="00AA15F6">
        <w:rPr>
          <w:rFonts w:asciiTheme="majorBidi" w:hAnsiTheme="majorBidi" w:cstheme="majorBidi"/>
        </w:rPr>
        <w:t>Uzbekistan</w:t>
      </w:r>
      <w:proofErr w:type="spellEnd"/>
      <w:r w:rsidRPr="00AA15F6">
        <w:rPr>
          <w:rFonts w:asciiTheme="majorBidi" w:hAnsiTheme="majorBidi" w:cstheme="majorBidi"/>
        </w:rPr>
        <w:t xml:space="preserve">, Yemen, </w:t>
      </w:r>
      <w:proofErr w:type="spellStart"/>
      <w:r w:rsidRPr="00AA15F6">
        <w:rPr>
          <w:rFonts w:asciiTheme="majorBidi" w:hAnsiTheme="majorBidi" w:cstheme="majorBidi"/>
        </w:rPr>
        <w:t>Zambia</w:t>
      </w:r>
      <w:proofErr w:type="spellEnd"/>
      <w:r w:rsidRPr="00AA15F6">
        <w:rPr>
          <w:rFonts w:asciiTheme="majorBidi" w:hAnsiTheme="majorBidi" w:cstheme="majorBidi"/>
        </w:rPr>
        <w:t>.</w:t>
      </w:r>
    </w:p>
    <w:p w14:paraId="5D56B36B" w14:textId="54E496B6" w:rsidR="00AA15F6" w:rsidRPr="00AA15F6" w:rsidRDefault="00AA15F6" w:rsidP="00280E8B">
      <w:pPr>
        <w:spacing w:after="100" w:line="264" w:lineRule="auto"/>
        <w:rPr>
          <w:rFonts w:asciiTheme="majorBidi" w:hAnsiTheme="majorBidi" w:cstheme="majorBidi"/>
          <w:b/>
          <w:bCs/>
          <w:sz w:val="26"/>
          <w:szCs w:val="26"/>
        </w:rPr>
      </w:pPr>
      <w:r w:rsidRPr="00AA15F6">
        <w:rPr>
          <w:rFonts w:asciiTheme="majorBidi" w:hAnsiTheme="majorBidi" w:cstheme="majorBidi"/>
          <w:b/>
          <w:bCs/>
          <w:sz w:val="26"/>
          <w:szCs w:val="26"/>
        </w:rPr>
        <w:t>9.Robustez</w:t>
      </w:r>
    </w:p>
    <w:p w14:paraId="08980214" w14:textId="77777777" w:rsidR="00280E8B" w:rsidRPr="00AA15F6" w:rsidRDefault="00280E8B" w:rsidP="00280E8B">
      <w:pPr>
        <w:spacing w:before="100"/>
        <w:jc w:val="both"/>
        <w:rPr>
          <w:rFonts w:asciiTheme="majorBidi" w:hAnsiTheme="majorBidi" w:cstheme="majorBidi"/>
        </w:rPr>
      </w:pPr>
      <w:r w:rsidRPr="00AA15F6">
        <w:rPr>
          <w:rFonts w:asciiTheme="majorBidi" w:hAnsiTheme="majorBidi" w:cstheme="majorBidi"/>
        </w:rPr>
        <w:t>A troca do quarto indicador mostrou que a divisão em quatro grupos é razoavelmente firme. Com o acesso a esgoto, o resultado ficou praticamente idêntico, e com o gasto em saúde ou a expectativa de vida as estruturas foram parecidas. O que mais pesa é a inflação: ao retirá-la, a concordância com o agrupamento final cai bastante, o que indica que é ela que dá origem ao Perfil 3. Os Perfis 1 e 4 mantiveram, em geral, uma composição parecida, com a maior variação no Perfil 1 quando usamos a expectativa de vida.</w:t>
      </w:r>
    </w:p>
    <w:p w14:paraId="124E081D" w14:textId="77777777" w:rsidR="00280E8B" w:rsidRPr="00AA15F6" w:rsidRDefault="00280E8B">
      <w:pPr>
        <w:rPr>
          <w:rFonts w:asciiTheme="majorBidi" w:hAnsiTheme="majorBidi" w:cstheme="majorBidi"/>
        </w:rPr>
      </w:pPr>
    </w:p>
    <w:sectPr w:rsidR="00280E8B" w:rsidRPr="00AA1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8B"/>
    <w:rsid w:val="00280E8B"/>
    <w:rsid w:val="008462FE"/>
    <w:rsid w:val="009646A6"/>
    <w:rsid w:val="00AA15F6"/>
    <w:rsid w:val="00F6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1833E"/>
  <w15:chartTrackingRefBased/>
  <w15:docId w15:val="{BA25E434-C4F3-4DC8-9A34-2B6C473B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E8B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80E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E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E8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E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E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E8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E8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E8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E8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E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E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E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8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E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8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E8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80E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E8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80E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E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5C7FD80001A840A778311522DAFDF0" ma:contentTypeVersion="10" ma:contentTypeDescription="Crie um novo documento." ma:contentTypeScope="" ma:versionID="5a884b4f9e767791c22920ec24aeccfd">
  <xsd:schema xmlns:xsd="http://www.w3.org/2001/XMLSchema" xmlns:xs="http://www.w3.org/2001/XMLSchema" xmlns:p="http://schemas.microsoft.com/office/2006/metadata/properties" xmlns:ns2="f5aaca8f-ba43-4a18-a297-255b8002940b" xmlns:ns3="398a0d71-8d30-43fb-b6ae-53939de6ef32" targetNamespace="http://schemas.microsoft.com/office/2006/metadata/properties" ma:root="true" ma:fieldsID="4cdf9031491cf4ed81423b465e3488bd" ns2:_="" ns3:_="">
    <xsd:import namespace="f5aaca8f-ba43-4a18-a297-255b8002940b"/>
    <xsd:import namespace="398a0d71-8d30-43fb-b6ae-53939de6ef3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aaca8f-ba43-4a18-a297-255b800294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a0d71-8d30-43fb-b6ae-53939de6ef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b8885c7-3aab-40c9-a0cd-26a4e523accd}" ma:internalName="TaxCatchAll" ma:showField="CatchAllData" ma:web="398a0d71-8d30-43fb-b6ae-53939de6ef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8a0d71-8d30-43fb-b6ae-53939de6ef32" xsi:nil="true"/>
    <ReferenceId xmlns="f5aaca8f-ba43-4a18-a297-255b8002940b" xsi:nil="true"/>
    <lcf76f155ced4ddcb4097134ff3c332f xmlns="f5aaca8f-ba43-4a18-a297-255b8002940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FE7466-08AE-49F5-B800-4430A7719291}"/>
</file>

<file path=customXml/itemProps2.xml><?xml version="1.0" encoding="utf-8"?>
<ds:datastoreItem xmlns:ds="http://schemas.openxmlformats.org/officeDocument/2006/customXml" ds:itemID="{C4A28225-EE03-48AE-B00B-8431DDA6FF46}"/>
</file>

<file path=customXml/itemProps3.xml><?xml version="1.0" encoding="utf-8"?>
<ds:datastoreItem xmlns:ds="http://schemas.openxmlformats.org/officeDocument/2006/customXml" ds:itemID="{55201A95-51D1-4585-8E41-A714DA9E8D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1502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3</cp:revision>
  <dcterms:created xsi:type="dcterms:W3CDTF">2026-10-05T21:02:00Z</dcterms:created>
  <dcterms:modified xsi:type="dcterms:W3CDTF">2026-10-05T21:19:00Z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0x010100565C7FD80001A840A778311522DAFDF0</vt:lpwstr>
  </property>
  <property fmtid="{D5CDD505-2E9C-101B-9397-08002B2CF9AE}" pid="3" name="MediaServiceImageTags">
    <vt:lpwstr/>
  </property>
</Properties>
</file>