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Projeto: Engenharia e Análise de Dados com T-SQL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​1. Visão Geral e Objetivo do Projeto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​Este projeto acadêmico foi concebido para simular o ciclo completo de um pipeline de dados, do levantamento de requisitos à entrega de insights acionáveis. Com o uso exclusivo do T-SQL, o objetivo é demonstrar proficiência em engenharia de dados, cobrindo aspectos de modelagem dimensional, processos de ETL, otimização de consultas e implementação de segurança. O tema escolhido, a análise dos gastos parlamentares, proporciona um cenário real e desafiador para a aplicação das técnicas.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​2. Tema e Problema de Negócio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​Tema: O impacto econômico dos gastos parlamentares: fornecedores, setores e oportunidades de mercado.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​A cota para o exercício da atividade parlamentar (CEAP) representa uma parte significativa do orçamento público. A transparência na sua utilização é fundamental, mas a análise dos dados brutos é complexa. O desafio deste projeto é transformar os dados fragmentados de diversas fontes públicas em um modelo de banco de dados analítico, capaz de responder a perguntas de negócio estratégicas e revelar padrões de gastos, concentração de mercado e correlações de comportamento.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​3. Plano de Análise: Perguntas de Negócio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​As seguintes perguntas guiam a modelagem, a transformação e a análise de dados do projeto: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​Quem são os maiores fornecedores dos deputados?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​Quais setores econômicos mais lucram com a cota parlamentar (via CNAE)?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​Existe concentração de mercado (poucas empresas dominam)?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​Quais partidos/estados concentram mais gasto em determinados setores?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​Há sazonalidade nos gastos (ex.: anos eleitorais, períodos específicos)?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​Deputados mais gastadores em publicidade têm comportamento diferente em votações/presenças?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​Empresas fornecedoras atuam em vários estados ou concentram contratos em regiões específicas?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​4. Arquitetura e Fontes de Dados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​O projeto utiliza um conjunto de dados robusto, com mais de 200.000 registros na tabela fato principal. A solução foi arquitetada em um esquema em estrela (star schema) para otimizar as consultas analíticas.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​Fontes de Dados Utilizadas: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​Cota Parlamentar - Brasil.io: Dados detalhados de despesas parlamentares por deputado e fornecedor.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​Câmara dos Deputados - Dados Abertos: Informações sobre deputados, partidos e legislaturas.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​Receita Federal - CNPJs: Classificação dos fornecedores por setor econômico (CNAE), essencial para a análise setorial.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​5. Modelagem de Dados: Abordagem e Soluções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​O modelo de dados lógico foi traduzido para um modelo físico otimizado para um ambiente de data warehouse (OLAP). As principais decisões de modelagem incluem: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​Esquema em Estrela: O modelo é centrado nas tabelas de fato FatoGastoParlamentar e FatoVotacaoPresenca, que se conectam diretamente a dimensões como DimDeputado, DimFornecedor, DimTempo, etc.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​Tabela de Ponte: A complexidade da afiliação partidária, que pode mudar ao longo do tempo, foi resolvida com uma tabela de ponte (BridgeDeputadoLegislaturaPartido). Esta tabela garante a precisão histórica ao associar cada gasto à afiliação partidária correta no momento da despesa.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​Dimensões Conformadas: As dimensões DimDeputado e DimTempo são compartilhadas entre as duas tabelas de fato, permitindo a análise de correlação entre os gastos e o comportamento de votação e presença dos deputados.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​6. Requisitos Técnicos e Implementação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​O projeto adere estritamente aos requisitos acadêmicos, com todos os artefatos técnicos desenvolvidos em T-SQL.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​Processo de ETL: Implementado via Stored Procedures e scripts T-SQL para a ingestão, limpeza e carga dos dados das fontes públicas para as tabelas de fato e dimensão.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​Objetos Programáticos: Implementação de 5 Views para análises pré-agregadas, 5 Stored Procedures (3 de ETL/CRUD e 2 analíticas), 2 Functions para lógicas de negócio específicas e 2 Triggers para validação e auditoria.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​Segurança (DCL): Criação de 3 perfis de acesso distintos (Roles) para simular um ambiente de produção.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​Documentação: Dicionário de dados completo e manual de uso das rotinas.</w:t>
      </w:r>
    </w:p>
    <w:p w:rsidR="00000000" w:rsidDel="00000000" w:rsidP="00000000" w:rsidRDefault="00000000" w:rsidRPr="00000000" w14:paraId="00000021">
      <w:pPr>
        <w:rPr>
          <w:u w:val="single"/>
        </w:rPr>
      </w:pPr>
      <w:r w:rsidDel="00000000" w:rsidR="00000000" w:rsidRPr="00000000">
        <w:rPr>
          <w:rtl w:val="0"/>
        </w:rPr>
        <w:t xml:space="preserve">​Versionamento: Todo o código SQL e a documentação serão versionados no GitHub, com o acompanhamento de tarefas via quadro</w:t>
      </w:r>
      <w:r w:rsidDel="00000000" w:rsidR="00000000" w:rsidRPr="00000000">
        <w:rPr>
          <w:u w:val="single"/>
          <w:rtl w:val="0"/>
        </w:rPr>
        <w:t xml:space="preserve"> Trello.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