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200"/>
      </w:pPr>
      <w:r>
        <w:t>GameLang Uma linguagem específica de domínio com interpretação e geração de Python</w:t>
      </w:r>
    </w:p>
    <w:p>
      <w:pPr>
        <w:spacing w:after="60"/>
        <w:jc w:val="center"/>
      </w:pPr>
      <w:r>
        <w:t>Victor Will dos Santos - 194427</w:t>
      </w:r>
    </w:p>
    <w:p>
      <w:pPr>
        <w:spacing w:after="60"/>
        <w:jc w:val="center"/>
      </w:pPr>
      <w:r>
        <w:t>João Pedro Pirani - 194411</w:t>
      </w:r>
    </w:p>
    <w:p>
      <w:pPr>
        <w:spacing w:after="60"/>
        <w:jc w:val="center"/>
      </w:pPr>
      <w:r>
        <w:t>Ryan Markus Maciel Araujo - 202006</w:t>
      </w:r>
    </w:p>
    <w:p>
      <w:pPr>
        <w:spacing w:after="60"/>
        <w:jc w:val="center"/>
      </w:pPr>
      <w:r>
        <w:t>Lucas dos Santos Garreto - 200131</w:t>
      </w:r>
    </w:p>
    <w:p>
      <w:pPr>
        <w:spacing w:after="60"/>
        <w:jc w:val="center"/>
      </w:pPr>
      <w:r>
        <w:t>Enzo Giuliano Cardoso Santana - 200265</w:t>
      </w:r>
    </w:p>
    <w:p>
      <w:pPr>
        <w:spacing w:before="560"/>
        <w:jc w:val="center"/>
      </w:pPr>
      <w:r>
        <w:rPr>
          <w:i/>
        </w:rPr>
        <w:t>Projeto e Implementação de Compiladores</w:t>
        <w:br/>
        <w:t>UNASP-SP</w:t>
        <w:br/>
        <w:t>2026/2</w:t>
      </w:r>
    </w:p>
    <w:p>
      <w:r>
        <w:br w:type="page"/>
      </w:r>
    </w:p>
    <w:p>
      <w:pPr>
        <w:pStyle w:val="Heading1"/>
      </w:pPr>
      <w:r>
        <w:t>Resumo</w:t>
      </w:r>
    </w:p>
    <w:p>
      <w:r>
        <w:t>Este trabalho apresenta a GameLang, uma linguagem específica de domínio para regras básicas de jogos. O projeto implementa um compilador completo em Python, composto por análise léxica, parsing descendente, árvore sintática abstrata, análise semântica, representação intermediária serializável, otimizações, interpretador e geração de Python. A avaliação verifica diagnósticos com linha e coluna, equivalência entre duas rotas de execução e preservação de comportamento após otimização. A linguagem mantém um escopo deliberadamente pequeno, centrado em entidades, propriedades numéricas, colisões, dano, cura, movimento, repetição e saída textual. Os resultados da suíte automatizada mostram que o pipeline aceita os exemplos válidos, rejeita entradas adversariais e produz o mesmo estado observável no interpretador e no código gerado.</w:t>
      </w:r>
    </w:p>
    <w:p>
      <w:pPr>
        <w:spacing w:after="280"/>
      </w:pPr>
      <w:r>
        <w:rPr>
          <w:b/>
        </w:rPr>
        <w:t>Palavras-chave:</w:t>
      </w:r>
      <w:r>
        <w:t xml:space="preserve"> compiladores; linguagem específica de domínio; representação intermediária; geração de código; testes de equivalência.</w:t>
      </w:r>
    </w:p>
    <w:p>
      <w:pPr>
        <w:pStyle w:val="Heading1"/>
      </w:pPr>
      <w:r>
        <w:t>1 Introdução</w:t>
      </w:r>
    </w:p>
    <w:p>
      <w:r>
        <w:t>Regras simples de jogabilidade costumam exigir infraestrutura que desvia a atenção do comportamento descrito. A GameLang reduz esse custo para estudantes e criadores independentes ao representar entidades e ações com termos do domínio. A Entrega 1 definiu entidades globais, propriedades numéricas, colisões, dano, cura, movimento, repetição, saída textual e tradução para Python. O cronograma da disciplina acrescentou requisitos de análise, IR, runtime, otimização, reprodutibilidade e comunicação científica.</w:t>
      </w:r>
    </w:p>
    <w:p>
      <w:r>
        <w:t>O objetivo deste trabalho foi construir uma implementação reproduzível que preservasse o escopo original e permitisse observar cada etapa do compilador. A contribuição prática é um repositório sem dependências externas de runtime, acompanhado de exemplos, casos inválidos, testes e uma interface de linha de comando.</w:t>
      </w:r>
    </w:p>
    <w:p>
      <w:pPr>
        <w:pStyle w:val="Heading1"/>
      </w:pPr>
      <w:r>
        <w:t>2 Linguagem e método</w:t>
      </w:r>
    </w:p>
    <w:p>
      <w:r>
        <w:t xml:space="preserve">A gramática usa declarações </w:t>
      </w:r>
      <w:r>
        <w:rPr>
          <w:rFonts w:ascii="Consolas" w:hAnsi="Consolas"/>
          <w:sz w:val="20"/>
        </w:rPr>
        <w:t>entity</w:t>
      </w:r>
      <w:r>
        <w:t xml:space="preserve">, eventos </w:t>
      </w:r>
      <w:r>
        <w:rPr>
          <w:rFonts w:ascii="Consolas" w:hAnsi="Consolas"/>
          <w:sz w:val="20"/>
        </w:rPr>
        <w:t>when A touches B</w:t>
      </w:r>
      <w:r>
        <w:t xml:space="preserve"> e instruções para dano, cura, movimento, repetição e impressão. Expressões possuem precedência convencional e incluem valores inteiros, reais, booleanos, textos, posições e referências qualificadas.</w:t>
      </w:r>
    </w:p>
    <w:p>
      <w:r>
        <w:t>O lexer percorre a fonte uma vez e anexa linha e coluna aos tokens. O parser descendente cria uma AST imutável. A análise semântica realiza duas etapas: registra entidades e propriedades; depois valida eventos, ações e expressões. Essa ordem impede que o backend receba referências inexistentes ou tipos incompatíveis.</w:t>
      </w:r>
    </w:p>
    <w:p>
      <w:r>
        <w:t>A conversão para IR produz entidades inicializadas, instruções estruturadas e manipuladores de eventos. O formato JSON contém versão e posições de origem. O interpretador executa a IR, enquanto o backend emite Python que usa o mesmo runtime. Essa separação permite comparar resultados sem duplicar as regras de estado.</w:t>
      </w:r>
    </w:p>
    <w:p>
      <w:pPr>
        <w:pStyle w:val="Heading1"/>
      </w:pPr>
      <w:r>
        <w:t>3 Otimizações</w:t>
      </w:r>
    </w:p>
    <w:p>
      <w:r>
        <w:t xml:space="preserve">O otimizador implementa dobramento de constantes, identidades algébricas e eliminação de operações sem efeito. Por exemplo, </w:t>
      </w:r>
      <w:r>
        <w:rPr>
          <w:rFonts w:ascii="Consolas" w:hAnsi="Consolas"/>
          <w:sz w:val="20"/>
        </w:rPr>
        <w:t>2 * (3 + 1)</w:t>
      </w:r>
      <w:r>
        <w:t xml:space="preserve"> se torna </w:t>
      </w:r>
      <w:r>
        <w:rPr>
          <w:rFonts w:ascii="Consolas" w:hAnsi="Consolas"/>
          <w:sz w:val="20"/>
        </w:rPr>
        <w:t>8</w:t>
      </w:r>
      <w:r>
        <w:t xml:space="preserve">, </w:t>
      </w:r>
      <w:r>
        <w:rPr>
          <w:rFonts w:ascii="Consolas" w:hAnsi="Consolas"/>
          <w:sz w:val="20"/>
        </w:rPr>
        <w:t>x + 0</w:t>
      </w:r>
      <w:r>
        <w:t xml:space="preserve"> se torna </w:t>
      </w:r>
      <w:r>
        <w:rPr>
          <w:rFonts w:ascii="Consolas" w:hAnsi="Consolas"/>
          <w:sz w:val="20"/>
        </w:rPr>
        <w:t>x</w:t>
      </w:r>
      <w:r>
        <w:t xml:space="preserve">, e ações com quantidade zero são removidas. Um bloco </w:t>
      </w:r>
      <w:r>
        <w:rPr>
          <w:rFonts w:ascii="Consolas" w:hAnsi="Consolas"/>
          <w:sz w:val="20"/>
        </w:rPr>
        <w:t>repeat 1</w:t>
      </w:r>
      <w:r>
        <w:t xml:space="preserve"> é substituído pelo próprio corpo.</w:t>
      </w:r>
    </w:p>
    <w:p>
      <w:r>
        <w:t>Cada transformação opera sobre uma IR validada e registra sua categoria. A validação compara o snapshot de entidades e a saída textual antes e depois da otimização. O projeto evita dobrar divisões por zero, preservando o momento em que um erro de execução apareceria.</w:t>
      </w:r>
    </w:p>
    <w:p>
      <w:pPr>
        <w:pStyle w:val="Heading1"/>
      </w:pPr>
      <w:r>
        <w:t>4 Avaliação</w:t>
      </w:r>
    </w:p>
    <w:p>
      <w:r>
        <w:t>A suíte automatizada cobre lexer, comentários, textos, precedência, erros sintáticos, tabela de símbolos, tipos, serialização, colisões, interpretação, Python gerado e otimizações. Os testes de equivalência executam a mesma entrada pelo interpretador e por uma função Python gerada, então comparam propriedades e saída.</w:t>
      </w:r>
    </w:p>
    <w:p>
      <w:r>
        <w:t>Os programas válidos incluem colisão, movimento repetido, dano seguido de cura e um caso direcionado às otimizações. Os exemplos inválidos provocam caractere desconhecido, ponto e vírgula ausente, entidade inexistente, propriedade inexistente e tipo incompatível. Todos os diagnósticos originados no frontend carregam linha e coluna.</w:t>
      </w:r>
    </w:p>
    <w:p>
      <w:pPr>
        <w:pStyle w:val="Heading1"/>
      </w:pPr>
      <w:r>
        <w:t>5 Discussão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9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Verificação</w:t>
            </w:r>
          </w:p>
        </w:tc>
        <w:tc>
          <w:tcPr>
            <w:tcW w:type="dxa" w:w="17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Resultado</w:t>
            </w:r>
          </w:p>
        </w:tc>
        <w:tc>
          <w:tcPr>
            <w:tcW w:type="dxa" w:w="446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Evidência</w:t>
            </w:r>
          </w:p>
        </w:tc>
      </w:tr>
      <w:tr>
        <w:tc>
          <w:tcPr>
            <w:tcW w:type="dxa" w:w="30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Suíte automatizada</w:t>
            </w:r>
          </w:p>
        </w:tc>
        <w:tc>
          <w:tcPr>
            <w:tcW w:type="dxa" w:w="17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27 aprovados</w:t>
            </w:r>
          </w:p>
        </w:tc>
        <w:tc>
          <w:tcPr>
            <w:tcW w:type="dxa" w:w="4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Execução com unittest</w:t>
            </w:r>
          </w:p>
        </w:tc>
      </w:tr>
      <w:tr>
        <w:tc>
          <w:tcPr>
            <w:tcW w:type="dxa" w:w="3096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Programas válidos</w:t>
            </w:r>
          </w:p>
        </w:tc>
        <w:tc>
          <w:tcPr>
            <w:tcW w:type="dxa" w:w="1728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4464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Exemplos na pasta examples</w:t>
            </w:r>
          </w:p>
        </w:tc>
      </w:tr>
      <w:tr>
        <w:tc>
          <w:tcPr>
            <w:tcW w:type="dxa" w:w="30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Programas inválidos</w:t>
            </w:r>
          </w:p>
        </w:tc>
        <w:tc>
          <w:tcPr>
            <w:tcW w:type="dxa" w:w="17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4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Erros léxicos, sintáticos e semânticos</w:t>
            </w:r>
          </w:p>
        </w:tc>
      </w:tr>
      <w:tr>
        <w:tc>
          <w:tcPr>
            <w:tcW w:type="dxa" w:w="3096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Rotas equivalentes</w:t>
            </w:r>
          </w:p>
        </w:tc>
        <w:tc>
          <w:tcPr>
            <w:tcW w:type="dxa" w:w="1728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Aprovado</w:t>
            </w:r>
          </w:p>
        </w:tc>
        <w:tc>
          <w:tcPr>
            <w:tcW w:type="dxa" w:w="4464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Snapshot do interpretador e do Python</w:t>
            </w:r>
          </w:p>
        </w:tc>
      </w:tr>
      <w:tr>
        <w:tc>
          <w:tcPr>
            <w:tcW w:type="dxa" w:w="30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Classes de otimização</w:t>
            </w:r>
          </w:p>
        </w:tc>
        <w:tc>
          <w:tcPr>
            <w:tcW w:type="dxa" w:w="17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4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Constantes, identidades e código sem efeito</w:t>
            </w:r>
          </w:p>
        </w:tc>
      </w:tr>
    </w:tbl>
    <w:p/>
    <w:p>
      <w:r>
        <w:t>A IR estruturada foi suficiente porque o núcleo não possui condicionais nem saltos arbitrários. Um CFG ou SSA adicionaria complexidade sem melhorar as transformações atuais. O desenho mantém espaço para uma extensão futura com condicionais, variáveis locais e um CFG explícito.</w:t>
      </w:r>
    </w:p>
    <w:p>
      <w:r>
        <w:t>O uso de um runtime comum reduz divergências entre interpretação e geração. A dependência também significa que o arquivo Python gerado não é totalmente independente. A distribuição pode instalar o pacote ou empacotar o runtime junto ao programa.</w:t>
      </w:r>
    </w:p>
    <w:p>
      <w:pPr>
        <w:pStyle w:val="Heading1"/>
      </w:pPr>
      <w:r>
        <w:t>6 Limitações</w:t>
      </w:r>
    </w:p>
    <w:p>
      <w:r>
        <w:t>A linguagem não executa gráficos ou física, não detecta colisões geométricas e não possui funções ou módulos. Propriedades iniciais são constantes numéricas. O evento de toque deve ser informado ao runtime. As medições do projeto demonstram corretude nos casos cobertos, mas não sustentam conclusões amplas sobre desempenho.</w:t>
      </w:r>
    </w:p>
    <w:p>
      <w:pPr>
        <w:pStyle w:val="Heading1"/>
      </w:pPr>
      <w:r>
        <w:t>7 Conclusão</w:t>
      </w:r>
    </w:p>
    <w:p>
      <w:r>
        <w:t>A implementação atende ao fluxo técnico previsto: fonte, lexer, parser, AST, análise semântica, IR, otimização e duas rotas de execução. A combinação de posições de origem, formato intermediário legível e testes de equivalência torna o projeto adequado ao ensino de compiladores e à demonstração acadêmica. Trabalhos futuros podem acrescentar condicionais, CFG, SSA e uma distribuição autônoma do código gerado.</w:t>
      </w:r>
    </w:p>
    <w:p>
      <w:pPr>
        <w:pStyle w:val="Heading1"/>
      </w:pPr>
      <w:r>
        <w:t>Referências</w:t>
      </w:r>
    </w:p>
    <w:p>
      <w:pPr>
        <w:ind w:left="360" w:hanging="360"/>
      </w:pPr>
      <w:r>
        <w:t xml:space="preserve">AHO, A. V.; LAM, M. S.; SETHI, R.; ULLMAN, J. D. </w:t>
      </w:r>
      <w:r>
        <w:rPr>
          <w:i/>
        </w:rPr>
        <w:t>Compilers: Principles, Techniques, and Tools</w:t>
      </w:r>
      <w:r>
        <w:t>. 2. ed. Boston: Addison-Wesley, 2006.</w:t>
      </w:r>
    </w:p>
    <w:p>
      <w:pPr>
        <w:ind w:left="360" w:hanging="360"/>
      </w:pPr>
      <w:r>
        <w:t>FOWLER, M. Domain-specific languages. Boston: Addison-Wesley, 2010.</w:t>
      </w:r>
    </w:p>
    <w:p>
      <w:pPr>
        <w:ind w:left="360" w:hanging="360"/>
      </w:pPr>
      <w:r>
        <w:t xml:space="preserve">GAME LANG TEAM. </w:t>
      </w:r>
      <w:r>
        <w:rPr>
          <w:i/>
        </w:rPr>
        <w:t>GameLang: especificação da linguagem, Entrega 1</w:t>
      </w:r>
      <w:r>
        <w:t>. Documento interno da disciplina, 2026.</w:t>
      </w:r>
    </w:p>
    <w:p>
      <w:pPr>
        <w:ind w:left="360" w:hanging="360"/>
      </w:pPr>
      <w:r>
        <w:t xml:space="preserve">UNASP-SP. </w:t>
      </w:r>
      <w:r>
        <w:rPr>
          <w:i/>
        </w:rPr>
        <w:t>Cronograma do Projeto GameLang: Projeto e Implementação de Compiladores 2026/2</w:t>
      </w:r>
      <w:r>
        <w:t>. Documento da disciplina, 2026.</w:t>
      </w:r>
    </w:p>
    <w:sectPr w:rsidR="00FC693F" w:rsidRPr="0006063C" w:rsidSect="00034616">
      <w:footerReference w:type="default" r:id="rId9"/>
      <w:pgSz w:w="12240" w:h="15840"/>
      <w:pgMar w:top="1224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8"/>
      </w:rPr>
      <w:t xml:space="preserve">GameLang  |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80" w:line="240" w:lineRule="auto"/>
      <w:contextualSpacing/>
      <w:jc w:val="center"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GameLang Uma linguagem específica de domínio com interpretação e geração de Python</dc:title>
  <dc:subject>Artigo científico do projeto GameLang</dc:subject>
  <dc:creator>Equipe GameLang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