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17:13:07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🔄 Tentativa 1/3 - Abrindo LOV robusto</w:t>
      </w:r>
    </w:p>
    <w:p>
      <w:r>
        <w:t>📌 Clicando no LOV de índice 2</w:t>
      </w:r>
    </w:p>
    <w:p>
      <w:r>
        <w:t>🔎 Tentativa 1: Localizando ícones LOV ('sp-openLov')...</w:t>
      </w:r>
    </w:p>
    <w:p>
      <w:r>
        <w:t>🎯 Preparando clique no LOV de índice 2 (total: 4).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Modal LOV processado com sucesso!</w:t>
      </w:r>
    </w:p>
    <w:p>
      <w:r>
        <w:t>✅ Selecionando Tipo de Mensalidade realizada com sucesso.</w:t>
      </w:r>
    </w:p>
    <w:p>
      <w:r>
        <w:t>Screenshot: 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mensal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//a[@class='btModel btGray btyes' and contains(normalize-space(.),'Sim')]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