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1: Rotina completa de Geração de Título Único</w:t>
      </w:r>
    </w:p>
    <w:p>
      <w:r>
        <w:t>Data do teste: 14/10/2025 15:03:07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150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Vencimento...</w:t>
      </w:r>
    </w:p>
    <w:p>
      <w:r>
        <w:t>📅 Datepicker forçado: (//input[contains(@class, 'hasDatepicker')])[1] = '09/03/2026'</w:t>
      </w:r>
    </w:p>
    <w:p>
      <w:r>
        <w:t>✅ Datepicker preenchido: '09/03/2026'</w:t>
      </w:r>
    </w:p>
    <w:p>
      <w:r>
        <w:t>✅ Preenchendo Vencimento realizada com sucesso.</w:t>
      </w:r>
    </w:p>
    <w:p>
      <w:r>
        <w:t>Screenshot: preenchendo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//a[@class='btModel btGray btsave' and normalize-space()='Gerar']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Clique forçado em: [data-aim='confirm-yes']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