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DAE" w:rsidRDefault="00FA169C">
      <w:pPr>
        <w:pStyle w:val="Title"/>
        <w:jc w:val="both"/>
      </w:pPr>
      <w:r>
        <w:t>An Introduction to Other-Regarding Preferences With an Application to Contract Design</w:t>
      </w:r>
    </w:p>
    <w:p w:rsidR="001F4DAE" w:rsidRDefault="00FA169C">
      <w:pPr>
        <w:pStyle w:val="Heading1"/>
        <w:jc w:val="both"/>
      </w:pPr>
      <w:bookmarkStart w:id="0" w:name="abstract"/>
      <w:bookmarkEnd w:id="0"/>
      <w:r>
        <w:t>Abstract</w:t>
      </w:r>
    </w:p>
    <w:p w:rsidR="001F4DAE" w:rsidRDefault="00FA169C">
      <w:pPr>
        <w:pStyle w:val="FirstParagraph"/>
        <w:jc w:val="both"/>
      </w:pPr>
      <w:r>
        <w:t xml:space="preserve">Economic models of individual behavior often make the assumption that in evaluating between competing alternatives agents are only concerned with how each </w:t>
      </w:r>
      <w:r>
        <w:t>alternative impacts their own payoffs. This simple, yet reasonable, assumption postulates that agents are self-regarding, that is, agents are not concerned with how their decisions affects other people. This study casts doubt over this assumption.</w:t>
      </w:r>
    </w:p>
    <w:p w:rsidR="001F4DAE" w:rsidRDefault="00FA169C">
      <w:pPr>
        <w:pStyle w:val="BodyText"/>
        <w:jc w:val="both"/>
      </w:pPr>
      <w:r>
        <w:t>Over the</w:t>
      </w:r>
      <w:r>
        <w:t xml:space="preserve"> last several decades there has been a steady accumulation of experimental evidence from games such as the ultimatum game and the gift exchange game where the observed behavior is not explained by assuming that agents have self-regarding preferences. Agent</w:t>
      </w:r>
      <w:r>
        <w:t>s often make decisions that lower their payoff if by doing so other agents are better off. In contrast to self-regarding preferences, agents are said in this case to have other-regarding preferences. They are not only preoccupied with themselves but also w</w:t>
      </w:r>
      <w:r>
        <w:t>ith other people.</w:t>
      </w:r>
    </w:p>
    <w:p w:rsidR="001F4DAE" w:rsidRDefault="00FA169C">
      <w:pPr>
        <w:pStyle w:val="BodyText"/>
        <w:jc w:val="both"/>
      </w:pPr>
      <w:r>
        <w:t>Most of the evidence discussed in this study was gathered through the use of laboratory experiments. The issue of the external validity of this evidence has long been a point of contention. Laboratory experiments are highly artificial env</w:t>
      </w:r>
      <w:r>
        <w:t xml:space="preserve">ironments that place strong constraints on individual behavior. While this imbues them with their source of methodological strength, it is also a weakness. Evidence gathered in the laboratory need not generalize to the real world, and </w:t>
      </w:r>
      <w:r>
        <w:lastRenderedPageBreak/>
        <w:t>laboratory experiment</w:t>
      </w:r>
      <w:r>
        <w:t xml:space="preserve">s are often compared with field studies which purport to provide evidence that is more externally valid. We examine the question of the external validity of laboratory experiments and conclude they are a valid tool for the gathering of scientific evidence </w:t>
      </w:r>
      <w:r>
        <w:t>about human behavior.</w:t>
      </w:r>
    </w:p>
    <w:p w:rsidR="001F4DAE" w:rsidRDefault="00FA169C">
      <w:pPr>
        <w:pStyle w:val="BodyText"/>
        <w:jc w:val="both"/>
      </w:pPr>
      <w:r>
        <w:t>Inequity aversion is presented as a method of modeling other-regarding preferences. The model is promptly used to explain the behavior documented in the ultimatum game. An example on how to use other-regarding preferences to study rea</w:t>
      </w:r>
      <w:r>
        <w:t>l world economic interactions is provided in the study of contract design under moral hazard.</w:t>
      </w:r>
    </w:p>
    <w:p w:rsidR="001F4DAE" w:rsidRDefault="00FA169C">
      <w:pPr>
        <w:pStyle w:val="BodyText"/>
        <w:jc w:val="both"/>
      </w:pPr>
      <w:r>
        <w:br/>
      </w:r>
      <w:r>
        <w:rPr>
          <w:b/>
        </w:rPr>
        <w:t>JEL Classification:</w:t>
      </w:r>
      <w:r>
        <w:t xml:space="preserve"> D01; C70; B41.</w:t>
      </w:r>
    </w:p>
    <w:p w:rsidR="001F4DAE" w:rsidRDefault="00FA169C">
      <w:pPr>
        <w:pStyle w:val="Heading1"/>
        <w:jc w:val="both"/>
      </w:pPr>
      <w:bookmarkStart w:id="1" w:name="introduction"/>
      <w:bookmarkEnd w:id="1"/>
      <w:r>
        <w:t>Introduction</w:t>
      </w:r>
    </w:p>
    <w:p w:rsidR="001F4DAE" w:rsidRDefault="00FA169C">
      <w:pPr>
        <w:pStyle w:val="FirstParagraph"/>
        <w:jc w:val="both"/>
      </w:pPr>
      <w:r>
        <w:t xml:space="preserve">Economics is a </w:t>
      </w:r>
      <w:r>
        <w:rPr>
          <w:i/>
        </w:rPr>
        <w:t>social</w:t>
      </w:r>
      <w:r>
        <w:t xml:space="preserve"> science and the economic behavior that is its subject of study is </w:t>
      </w:r>
      <w:r>
        <w:rPr>
          <w:i/>
        </w:rPr>
        <w:t>human</w:t>
      </w:r>
      <w:r>
        <w:t xml:space="preserve"> behavior. As social</w:t>
      </w:r>
      <w:r>
        <w:t xml:space="preserve"> scientists, economists are interested in studying agents, their actions, the reasons behind them, and the consequences that result from them. It is through the use of tractable models that economists perform their studies and, as a necessary step to devel</w:t>
      </w:r>
      <w:r>
        <w:t>op these models, it is required that the goals and motivations that precede and drive human behavior be formalized.</w:t>
      </w:r>
    </w:p>
    <w:p w:rsidR="001F4DAE" w:rsidRDefault="00FA169C">
      <w:pPr>
        <w:pStyle w:val="BodyText"/>
        <w:jc w:val="both"/>
      </w:pPr>
      <w:r>
        <w:t xml:space="preserve">We are regularly faced with situations where we have to choose between multiple possible courses of action. Before entering college we must </w:t>
      </w:r>
      <w:r>
        <w:t xml:space="preserve">decide between majoring in Physics or Economics. When lunch hour arrives, and we find ourselves </w:t>
      </w:r>
      <w:r>
        <w:lastRenderedPageBreak/>
        <w:t>at a mall, we have to choose one restaurant out from possible dozens. Economists deal with this basic fact of everyday life by introducing the concept of prefer</w:t>
      </w:r>
      <w:r>
        <w:t>ences, which are defined as rankings that express the subjective comparative evaluations of alternatives (Hausman 2011).</w:t>
      </w:r>
    </w:p>
    <w:p w:rsidR="001F4DAE" w:rsidRDefault="00FA169C">
      <w:pPr>
        <w:pStyle w:val="BodyText"/>
        <w:jc w:val="both"/>
      </w:pPr>
      <w:r>
        <w:t>An agent’s behavior can be summarized as the maximization of an abstract utility function. While this utility function does not necessa</w:t>
      </w:r>
      <w:r>
        <w:t>rily take into account the underlying psychological processes that underlie preference formation, it has become standard in Economics to take this function as being the result of an evaluation that takes into account as its sole parameter how each alternat</w:t>
      </w:r>
      <w:r>
        <w:t>ive impacts the agent’s payoff. Under this behavioral assumption, the maximizing behavior corresponds to the idea that in the presence of competing alternatives people seek to maximize their own expected payoffs. Agents are then said to be self-regarding.</w:t>
      </w:r>
    </w:p>
    <w:p w:rsidR="001F4DAE" w:rsidRDefault="00FA169C">
      <w:pPr>
        <w:pStyle w:val="BodyText"/>
        <w:jc w:val="both"/>
      </w:pPr>
      <w:r>
        <w:t xml:space="preserve">This assumption was put forth in 1881, when the political economist and philosopher Francis Edgeworth asserted that “the first principle of Economics is that every agent is actuated only by self-interest” (Edgeworth 1881). More famously, we see it in Adam </w:t>
      </w:r>
      <w:r>
        <w:t>Smith’s concept of the invisible hand, where the market is able to turn what are private vices into public virtues.</w:t>
      </w:r>
      <w:r>
        <w:rPr>
          <w:rStyle w:val="FootnoteAnchor"/>
        </w:rPr>
        <w:footnoteReference w:id="1"/>
      </w:r>
    </w:p>
    <w:p w:rsidR="001F4DAE" w:rsidRDefault="00FA169C">
      <w:pPr>
        <w:pStyle w:val="BodyText"/>
        <w:jc w:val="both"/>
      </w:pPr>
      <w:r>
        <w:t>This work intends to show that there is sufficient experimental evidence showing that the assumption that agents are self-regarding is insu</w:t>
      </w:r>
      <w:r>
        <w:t xml:space="preserve">fficient. It will be shown </w:t>
      </w:r>
      <w:r>
        <w:lastRenderedPageBreak/>
        <w:t>that there is a wide range of behavior which the self-regarding assumption is not able to explain and that instead one needs to take into account that agents are concerned not only with themselves but also take into account the w</w:t>
      </w:r>
      <w:r>
        <w:t>ell-being of others.</w:t>
      </w:r>
    </w:p>
    <w:p w:rsidR="001F4DAE" w:rsidRDefault="00FA169C">
      <w:pPr>
        <w:pStyle w:val="BodyText"/>
        <w:jc w:val="both"/>
      </w:pPr>
      <w:r>
        <w:t xml:space="preserve">We will therefore contrast </w:t>
      </w:r>
      <w:r>
        <w:rPr>
          <w:i/>
        </w:rPr>
        <w:t>other-regarding preferences</w:t>
      </w:r>
      <w:r>
        <w:t xml:space="preserve"> with </w:t>
      </w:r>
      <w:r>
        <w:rPr>
          <w:i/>
        </w:rPr>
        <w:t>self-regarding preferences</w:t>
      </w:r>
      <w:r>
        <w:t>. An agent is said to be self-regarding if he is only preoccupied with how an action impacts himself, while an other-regarding individual is not only</w:t>
      </w:r>
      <w:r>
        <w:t xml:space="preserve"> preoccupied with himself but also with other people.</w:t>
      </w:r>
    </w:p>
    <w:p w:rsidR="001F4DAE" w:rsidRDefault="00FA169C">
      <w:pPr>
        <w:pStyle w:val="BodyText"/>
        <w:jc w:val="both"/>
      </w:pPr>
      <w:r>
        <w:t>Note that an individual with other-regarding preferences does not imply that he is not preoccupied with himself. For example, one can be honest because one does not wish to impose costs on others by dec</w:t>
      </w:r>
      <w:r>
        <w:t xml:space="preserve">eiving them, but honesty can also be a self-regarding behavior if practiced in order to be the kind of person one wants to be. Thus, the distinction between the two preferences is not that other-regarding preferences are counter-preferencial, in the sense </w:t>
      </w:r>
      <w:r>
        <w:t>of behavior not following from the maximization of a utility function, but that agents are motivated by a concern about the effects of one’s actions on others.</w:t>
      </w:r>
    </w:p>
    <w:p w:rsidR="001F4DAE" w:rsidRDefault="00FA169C">
      <w:pPr>
        <w:pStyle w:val="BodyText"/>
        <w:jc w:val="both"/>
      </w:pPr>
      <w:r>
        <w:t>The present study is structured as follows. In Section 2 we will survey the evidence accumulated</w:t>
      </w:r>
      <w:r>
        <w:t xml:space="preserve"> through the use of experimental games, such as the </w:t>
      </w:r>
      <w:r>
        <w:rPr>
          <w:i/>
        </w:rPr>
        <w:t>ultimatum game</w:t>
      </w:r>
      <w:r>
        <w:t xml:space="preserve"> and the </w:t>
      </w:r>
      <w:r>
        <w:rPr>
          <w:i/>
        </w:rPr>
        <w:t>gift exchange game</w:t>
      </w:r>
      <w:r>
        <w:t>, that proves the existence of behaviors which the assumption of agents having self-regarding preferences is not able to explain. Section 3 provides a methodologic</w:t>
      </w:r>
      <w:r>
        <w:t xml:space="preserve">al defense against critics who argue against the use of laboratory evidence, such as that described in Section 2, to infer the </w:t>
      </w:r>
      <w:r>
        <w:lastRenderedPageBreak/>
        <w:t>determinants of human behavior. Following that, Section 4 introduces the Fehr-Schmidt model of inequity aversion, a model of othe</w:t>
      </w:r>
      <w:r>
        <w:t>r-regarding preferences that is able to predict the perplexing behavior documented in Section 2. Finally, in Section 5 we provide a motivating example for the use of other-regarding preferences by showing that their inclusion is able to explain the optimal</w:t>
      </w:r>
      <w:r>
        <w:t xml:space="preserve"> choice between competing contracts under the existence of moral hazard.</w:t>
      </w:r>
    </w:p>
    <w:p w:rsidR="001F4DAE" w:rsidRDefault="00FA169C">
      <w:pPr>
        <w:pStyle w:val="Heading1"/>
        <w:jc w:val="both"/>
      </w:pPr>
      <w:bookmarkStart w:id="2" w:name="other-regarding-preferences-experimental"/>
      <w:bookmarkEnd w:id="2"/>
      <w:r>
        <w:t>Other-Regarding Preferences: Experimental Evidence</w:t>
      </w:r>
    </w:p>
    <w:p w:rsidR="001F4DAE" w:rsidRDefault="00FA169C">
      <w:pPr>
        <w:pStyle w:val="Heading2"/>
        <w:jc w:val="both"/>
      </w:pPr>
      <w:bookmarkStart w:id="3" w:name="ultimatum-and-dictator-games"/>
      <w:bookmarkEnd w:id="3"/>
      <w:r>
        <w:t>Ultimatum and Dictator games</w:t>
      </w:r>
    </w:p>
    <w:p w:rsidR="001F4DAE" w:rsidRDefault="00FA169C">
      <w:pPr>
        <w:pStyle w:val="Heading3"/>
        <w:jc w:val="both"/>
      </w:pPr>
      <w:bookmarkStart w:id="4" w:name="the-ultimatum-game"/>
      <w:bookmarkEnd w:id="4"/>
      <w:r>
        <w:t>The ultimatum game</w:t>
      </w:r>
    </w:p>
    <w:p w:rsidR="001F4DAE" w:rsidRDefault="00FA169C">
      <w:pPr>
        <w:pStyle w:val="FirstParagraph"/>
        <w:jc w:val="both"/>
      </w:pPr>
      <w:r>
        <w:t xml:space="preserve">The </w:t>
      </w:r>
      <w:r>
        <w:rPr>
          <w:i/>
        </w:rPr>
        <w:t>ultimatum game</w:t>
      </w:r>
      <w:r>
        <w:t xml:space="preserve"> is a one-shot game between two players, a </w:t>
      </w:r>
      <w:r>
        <w:rPr>
          <w:i/>
        </w:rPr>
        <w:t>proposer</w:t>
      </w:r>
      <w:r>
        <w:t xml:space="preserve"> and a </w:t>
      </w:r>
      <w:r>
        <w:rPr>
          <w:i/>
        </w:rPr>
        <w:t>responde</w:t>
      </w:r>
      <w:r>
        <w:rPr>
          <w:i/>
        </w:rPr>
        <w:t>r</w:t>
      </w:r>
      <w:r>
        <w:t xml:space="preserve">. The </w:t>
      </w:r>
      <w:r>
        <w:rPr>
          <w:i/>
        </w:rPr>
        <w:t>proposer</w:t>
      </w:r>
      <w:r>
        <w:t xml:space="preserve"> is given an integer amount of tokens, </w:t>
      </w:r>
      <m:oMath>
        <m:r>
          <w:rPr>
            <w:rFonts w:ascii="Cambria Math" w:hAnsi="Cambria Math"/>
          </w:rPr>
          <m:t>x</m:t>
        </m:r>
      </m:oMath>
      <w:r>
        <w:t>, by the experimenter and must offer a share of it to the responder. If the responder accepts, the proposer’s offer is implemented and both part ways with their respective payout. If the responder rej</w:t>
      </w:r>
      <w:r>
        <w:t>ects the offer both players part ways with nothing.</w:t>
      </w:r>
    </w:p>
    <w:p w:rsidR="001F4DAE" w:rsidRDefault="00FA169C">
      <w:pPr>
        <w:pStyle w:val="BodyText"/>
        <w:jc w:val="both"/>
      </w:pPr>
      <w:r>
        <w:t>If both players have self-regarding preferences the proposer’s optimal strategy will be to propose the lowest possible amount that he is allowed to offer. Accordingly, the responder should accept whatever</w:t>
      </w:r>
      <w:r>
        <w:t xml:space="preserve"> amount the proposer is willing to part ways with, because otherwise he will be left with nothing rather than something. The subgame perfect Nash equilibrium for the ultimatum game is one where the payoffs are </w:t>
      </w:r>
      <m:oMath>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p</m:t>
            </m:r>
          </m:e>
        </m:d>
      </m:oMath>
      <w:r>
        <w:t xml:space="preserve">, where </w:t>
      </w:r>
      <m:oMath>
        <m:r>
          <w:rPr>
            <w:rFonts w:ascii="Cambria Math" w:hAnsi="Cambria Math"/>
          </w:rPr>
          <m:t>p</m:t>
        </m:r>
      </m:oMath>
      <w:r>
        <w:t xml:space="preserve"> is the lowest possible amou</w:t>
      </w:r>
      <w:r>
        <w:t>nt that the proposer is allowed to offer. The experimental evidence, however, does not support this prediction.</w:t>
      </w:r>
    </w:p>
    <w:p w:rsidR="001F4DAE" w:rsidRDefault="00FA169C">
      <w:pPr>
        <w:pStyle w:val="BodyText"/>
        <w:jc w:val="both"/>
      </w:pPr>
      <w:r>
        <w:lastRenderedPageBreak/>
        <w:t xml:space="preserve">Camerer (2011a) provides a detailed summary of the main results from a number of experiments using the ultimatum game. The main conclusions are </w:t>
      </w:r>
      <w:r>
        <w:t>as follows: The mean offer made by the proposer falls between 30% to 40% of the initial endowment. The median offer is 40% to 50%. There are rarely any unfair offers, that is, offers that fall in the 0% to 10% range. Offers that are too generous (i.e. more</w:t>
      </w:r>
      <w:r>
        <w:t xml:space="preserve"> than half of the endowment) are also rarely observed. Low offers are often rejected, with offers below 20% being rejected about half of the time.</w:t>
      </w:r>
    </w:p>
    <w:p w:rsidR="001F4DAE" w:rsidRDefault="00FA169C">
      <w:pPr>
        <w:pStyle w:val="BodyText"/>
        <w:jc w:val="both"/>
      </w:pPr>
      <w:r>
        <w:t>An increase in the stakes involved does not change the nature of the results. A possible objection might be t</w:t>
      </w:r>
      <w:r>
        <w:t>hat the stakes, or the monetary amount at stake in the interaction, are too low to elicit the required mental effort for players to play in the ’appropriate’ manner. That is, if the stakes involved are low it is possible that players will not take the game</w:t>
      </w:r>
      <w:r>
        <w:t xml:space="preserve"> seriously. However, when the stakes are increased players continue behaving in ways that do not conform to the self-regarding prediction.</w:t>
      </w:r>
    </w:p>
    <w:p w:rsidR="001F4DAE" w:rsidRDefault="00FA169C">
      <w:pPr>
        <w:pStyle w:val="BodyText"/>
        <w:jc w:val="both"/>
      </w:pPr>
      <w:r>
        <w:t>For example, Cameron (1999) conducted experiments using the ultimatum game in Indonesia where the largest monetary am</w:t>
      </w:r>
      <w:r>
        <w:t xml:space="preserve">ount at stake was equivalent to about three times the average monthly expenditure of the participants. The authors conclude in this case that “significant deviations from game-theoretic behavior persist even in high stakes games.” The one change in player </w:t>
      </w:r>
      <w:r>
        <w:t>behavior that the authors were able to observe was that responders were willing to accept a lower percentage offer, while there was no behavioral change from proposers.</w:t>
      </w:r>
    </w:p>
    <w:p w:rsidR="001F4DAE" w:rsidRDefault="00FA169C">
      <w:pPr>
        <w:pStyle w:val="BodyText"/>
        <w:jc w:val="both"/>
      </w:pPr>
      <w:r>
        <w:lastRenderedPageBreak/>
        <w:t>Andersen et al. (2011) employ the ultimatum game in a poor village in Northeast India t</w:t>
      </w:r>
      <w:r>
        <w:t>o study the effect of an increase in stakes on responder behavior. They are motivated by the finding that an increase in stakes does not elicit lower offers from proposers, which makes difficult the study of the effect an increase in stakes has in how resp</w:t>
      </w:r>
      <w:r>
        <w:t xml:space="preserve">onders deal with low, or unfair, offers. The authors increase the stakes by a factor of 1,000, — 20 to 20000 rupees (1.6 to 16000 hours of work) — and they alter the standard experimental instructions to elicit lower offers than usual from proposers. They </w:t>
      </w:r>
      <w:r>
        <w:t>find that responders play more closely to their predicted equilibrium response as stakes increase, usually as the amounts offered are equivalent to 30-40 days of wages or more. Rejection rates approach zero as the amount of money that responders must forgo</w:t>
      </w:r>
      <w:r>
        <w:t xml:space="preserve"> with a rejection increases, meaning that stakes have their predicted effect. The authors point out that their finding confirms rather than rejects previous results given that one does not typically encounter situations where such high stakes are involved </w:t>
      </w:r>
      <w:r>
        <w:t>and the bulk of everyday market transactions are low-stakes affairs.</w:t>
      </w:r>
    </w:p>
    <w:p w:rsidR="001F4DAE" w:rsidRDefault="00FA169C">
      <w:pPr>
        <w:pStyle w:val="BodyText"/>
        <w:jc w:val="both"/>
      </w:pPr>
      <w:r>
        <w:t>Slonim and Roth (1998) combine learning and increased stakes. Subjects from Slovak Republic play 10 rounds of the ultimatum game with stakes that are between 60 and 1,500 Slovak crowns. T</w:t>
      </w:r>
      <w:r>
        <w:t>heir results confirm previous findings, that behavior in the ultimatum game does not confirm the equilibrium predictions.</w:t>
      </w:r>
    </w:p>
    <w:p w:rsidR="001F4DAE" w:rsidRDefault="00FA169C">
      <w:pPr>
        <w:pStyle w:val="BodyText"/>
        <w:jc w:val="both"/>
      </w:pPr>
      <w:r>
        <w:t xml:space="preserve">A possible objection might be that the observation of behavior not consistent with the self-regarding equilibrium prediction rises </w:t>
      </w:r>
      <w:r>
        <w:t xml:space="preserve">from the reliance of sterile laboratory experiments with college students, implying that the results do not </w:t>
      </w:r>
      <w:r>
        <w:lastRenderedPageBreak/>
        <w:t>generalize to a wider population. Early cross-cultural experiments with college students from Israel, the United States, Japan, and Yugoslavia, conf</w:t>
      </w:r>
      <w:r>
        <w:t>irmed the standard finding in ultimatum experiments where the predicted equilibrium is never met, though the results did show substantial differences between countries regarding the distribution of offers made by the proposer (Roth et al. 1991). These resu</w:t>
      </w:r>
      <w:r>
        <w:t>lts provided some evidence that the deviation from the self-regarding prediction in the ultimatum game did generalize for populations all over the globe.</w:t>
      </w:r>
    </w:p>
    <w:p w:rsidR="001F4DAE" w:rsidRDefault="00FA169C">
      <w:pPr>
        <w:pStyle w:val="BodyText"/>
        <w:jc w:val="both"/>
      </w:pPr>
      <w:r>
        <w:t>However, in 1996 a surprising finding broke the consensus when anthropologist Joe Henrich (Henrich 200</w:t>
      </w:r>
      <w:r>
        <w:t xml:space="preserve">0) found that the Machiguenga, a slash-and-burn horticulturalist society living in the southeastern Peruvian Amazon, behaved in a way that was closer to the game-theoretic prediction. This “Machiguenga outlier” sparked the question of whether the behavior </w:t>
      </w:r>
      <w:r>
        <w:t>commonly observed in the ultimatum game was an artifact of the game being played by members of societies advanced in their economic development and propelled researchers to think about what economic and cultural circumstances made it so that the Machigueng</w:t>
      </w:r>
      <w:r>
        <w:t>a found the modal offer of 15% a fair offer.</w:t>
      </w:r>
    </w:p>
    <w:p w:rsidR="001F4DAE" w:rsidRDefault="00FA169C">
      <w:pPr>
        <w:pStyle w:val="BodyText"/>
        <w:jc w:val="both"/>
      </w:pPr>
      <w:r>
        <w:t>The answer to these questions came when a group of 12 anthropologists, including Henrich, adapted the ultimatum game, the dictator game, and the public goods game</w:t>
      </w:r>
      <w:r>
        <w:rPr>
          <w:rStyle w:val="FootnoteAnchor"/>
        </w:rPr>
        <w:footnoteReference w:id="2"/>
      </w:r>
      <w:r>
        <w:t xml:space="preserve"> so that these were not reliant on the administr</w:t>
      </w:r>
      <w:r>
        <w:t xml:space="preserve">ation through a computer and </w:t>
      </w:r>
      <w:r>
        <w:lastRenderedPageBreak/>
        <w:t>could thus be implemented in the field among non-literate subjects (Henrich et al. 2005). They proceeded to gather evidence from 15 small-scale societies exhibiting a wide variety of economic and cultural conditions.</w:t>
      </w:r>
    </w:p>
    <w:p w:rsidR="001F4DAE" w:rsidRDefault="00FA169C">
      <w:pPr>
        <w:pStyle w:val="BodyText"/>
        <w:jc w:val="both"/>
      </w:pPr>
      <w:r>
        <w:t>In line wi</w:t>
      </w:r>
      <w:r>
        <w:t xml:space="preserve">th previous research, the predictions from the self-regarding model were not borne out in any of these societies, though there was wide variation in the results. The mean offers ranged from 26% to 57%, with the Machiguenga having the lowest mean offer and </w:t>
      </w:r>
      <w:r>
        <w:t xml:space="preserve">the Lamalera, a whale hunting people from near Indonesia, having the highest one. Indeed, the wide variation in how these societies approach the ultimatum game is quite interesting. The Hadza, a group of small-scale foragers from Tanzania, made low offers </w:t>
      </w:r>
      <w:r>
        <w:t>at the same time that they had a high rejection rate, while the Aché, from Paraguay, made consistently high offers with no rejections. The authors propose that this variation reflects their differing patterns of everyday life. Both groups share between mem</w:t>
      </w:r>
      <w:r>
        <w:t>bers the meat that is obtained by hunters, though their levels of cooperation and expectations vary significantly. The Aché distribute their prey equally among all other households, and there is no consistent relationship between how much meat a hunter bri</w:t>
      </w:r>
      <w:r>
        <w:t>ngs in and how much his family receives. Indeed successful hunters often leave their prey outside the camp to be discovered by others to avoid being considered boastful by their peers. By contrast, Hadza hunters sometimes wait until nightfall so they can s</w:t>
      </w:r>
      <w:r>
        <w:t xml:space="preserve">neak meat into their </w:t>
      </w:r>
      <w:r>
        <w:lastRenderedPageBreak/>
        <w:t>shelter, and when meat is shared between the group it is not done so without complaint and without some looking for opportunities not to share.</w:t>
      </w:r>
    </w:p>
    <w:p w:rsidR="001F4DAE" w:rsidRDefault="00FA169C">
      <w:pPr>
        <w:pStyle w:val="BodyText"/>
        <w:jc w:val="both"/>
      </w:pPr>
      <w:r>
        <w:t>The authors reach the conclusion that increased sociality is dependent on the extent of the</w:t>
      </w:r>
      <w:r>
        <w:t xml:space="preserve"> market integration in each society, that is, whether its people buy and sell wares and goods between one another and work for a wage. They find that increased cooperation in production is also associated with increased sociality, which might explain why t</w:t>
      </w:r>
      <w:r>
        <w:t>he whale hunters of Lamalera feature such high levels of sociality, since it is necessary to sustain high levels of cooperation between multiple non-kin members to bring such an animal down. Taken these two aspects together, market integration and the payo</w:t>
      </w:r>
      <w:r>
        <w:t>ffs to cooperation account for 66% of the variation in the outcomes in the ultimatum game.</w:t>
      </w:r>
    </w:p>
    <w:p w:rsidR="001F4DAE" w:rsidRDefault="00FA169C">
      <w:pPr>
        <w:pStyle w:val="BodyText"/>
        <w:jc w:val="both"/>
      </w:pPr>
      <w:r>
        <w:t xml:space="preserve">More amusingly, Carter and Irons (1991) find that economists play closer to the standard self-regarding prediction than non-economists. But there does not seem be a </w:t>
      </w:r>
      <w:r>
        <w:t>difference between freshman and senior economists. Economists, it seems, are just different from everyone else!</w:t>
      </w:r>
    </w:p>
    <w:p w:rsidR="001F4DAE" w:rsidRDefault="00FA169C">
      <w:pPr>
        <w:pStyle w:val="Heading3"/>
        <w:jc w:val="both"/>
      </w:pPr>
      <w:bookmarkStart w:id="5" w:name="the-dictator-game"/>
      <w:bookmarkEnd w:id="5"/>
      <w:r>
        <w:t>The dictator game</w:t>
      </w:r>
    </w:p>
    <w:p w:rsidR="001F4DAE" w:rsidRDefault="00FA169C">
      <w:pPr>
        <w:pStyle w:val="FirstParagraph"/>
        <w:jc w:val="both"/>
      </w:pPr>
      <w:r>
        <w:t xml:space="preserve">The </w:t>
      </w:r>
      <w:r>
        <w:rPr>
          <w:i/>
        </w:rPr>
        <w:t>dictator game</w:t>
      </w:r>
      <w:r>
        <w:t xml:space="preserve"> is a variant of the ultimatum game where the responder is forced to accept the proposer’s offer regardless o</w:t>
      </w:r>
      <w:r>
        <w:t>f the amount proposed. If the proposer has self-regarding preferences we would predict for him to propose the lowest denominator he is allowed to since there is nothing to be gained by offering a higher share of the endowment</w:t>
      </w:r>
    </w:p>
    <w:p w:rsidR="001F4DAE" w:rsidRDefault="00FA169C">
      <w:pPr>
        <w:pStyle w:val="BodyText"/>
        <w:jc w:val="both"/>
      </w:pPr>
      <w:r>
        <w:lastRenderedPageBreak/>
        <w:t>Camerer (2011a) offers a summa</w:t>
      </w:r>
      <w:r>
        <w:t>ry of the results from multiple experiments that have employed the dictator game. The mean offer across these studies is roughly 20% of the initial endowment, and about 60% of the subjects in these studies offered a positive amount of the endowment.</w:t>
      </w:r>
    </w:p>
    <w:p w:rsidR="001F4DAE" w:rsidRDefault="00FA169C">
      <w:pPr>
        <w:pStyle w:val="BodyText"/>
        <w:jc w:val="both"/>
      </w:pPr>
      <w:r>
        <w:t>That t</w:t>
      </w:r>
      <w:r>
        <w:t>he proposer in the dictator game makes a mean offer that is higher than the minimum required, though lower than the mean offer in the ultimatum game, provides us with knowledge about the motives behind the offers made in the ultimatum game as well as the n</w:t>
      </w:r>
      <w:r>
        <w:t>ature of those made in the dictator game itself. Given that the only meaningful difference between the dictator and ultimatum game is that in the first the ability of the responder to reject the offer made is removed, we can infer from the lower mean offer</w:t>
      </w:r>
      <w:r>
        <w:t xml:space="preserve"> that strategic concern drives at least a portion of the offer made in the ultimatum game. That is, in the ultimatum gmae, the proposer offers more than he would otherwise have offered due to a fear of his offer being rejected.</w:t>
      </w:r>
    </w:p>
    <w:p w:rsidR="001F4DAE" w:rsidRDefault="00FA169C">
      <w:pPr>
        <w:pStyle w:val="BodyText"/>
        <w:jc w:val="both"/>
      </w:pPr>
      <w:r>
        <w:t>However, that the mean offer</w:t>
      </w:r>
      <w:r>
        <w:t xml:space="preserve"> in the dictator game is not the minimum required tells us that this strategic concern does not entirely drive the offer in the ultimatum game. Given that the proposer is made worse off by offering more than minimum, and since the responder is a passive ac</w:t>
      </w:r>
      <w:r>
        <w:t>tor in this interaction, we can interpret the offer made in the dictator game as being driven by an aversion to inequality, or altruism.</w:t>
      </w:r>
    </w:p>
    <w:p w:rsidR="001F4DAE" w:rsidRDefault="00FA169C">
      <w:pPr>
        <w:pStyle w:val="BodyText"/>
        <w:jc w:val="center"/>
      </w:pPr>
      <w:r>
        <w:t>Figure 1: The two components that drive the ultimatum game offer</w:t>
      </w:r>
    </w:p>
    <w:p w:rsidR="001F4DAE" w:rsidRDefault="00FA169C">
      <w:pPr>
        <w:pStyle w:val="BodyText"/>
        <w:jc w:val="both"/>
      </w:pPr>
      <w:r>
        <w:rPr>
          <w:noProof/>
        </w:rPr>
        <w:lastRenderedPageBreak/>
        <w:drawing>
          <wp:inline distT="0" distB="0" distL="0" distR="0">
            <wp:extent cx="5334000" cy="1524000"/>
            <wp:effectExtent l="0" t="0" r="0" b="0"/>
            <wp:docPr id="1"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pic:cNvPicPr>
                      <a:picLocks noChangeAspect="1" noChangeArrowheads="1"/>
                    </pic:cNvPicPr>
                  </pic:nvPicPr>
                  <pic:blipFill>
                    <a:blip r:embed="rId7"/>
                    <a:stretch>
                      <a:fillRect/>
                    </a:stretch>
                  </pic:blipFill>
                  <pic:spPr bwMode="auto">
                    <a:xfrm>
                      <a:off x="0" y="0"/>
                      <a:ext cx="5334000" cy="1524000"/>
                    </a:xfrm>
                    <a:prstGeom prst="rect">
                      <a:avLst/>
                    </a:prstGeom>
                  </pic:spPr>
                </pic:pic>
              </a:graphicData>
            </a:graphic>
          </wp:inline>
        </w:drawing>
      </w:r>
      <w:r>
        <w:t xml:space="preserve"> </w:t>
      </w:r>
    </w:p>
    <w:p w:rsidR="001F4DAE" w:rsidRDefault="00FA169C">
      <w:pPr>
        <w:pStyle w:val="BodyText"/>
        <w:jc w:val="both"/>
      </w:pPr>
      <w:r>
        <w:t>List (2007) pushes back against the standard interp</w:t>
      </w:r>
      <w:r>
        <w:t>retation that positive offers in the dictator game reflect altruism and/or inequity aversion from the part of the proposer. For example, lower offers are seen when anonymity between proposer and responder is added, indicating that a concern about how one i</w:t>
      </w:r>
      <w:r>
        <w:t>s seen by their peers is a driving force for the positive offers seen in the dictator game. List (2004) also find that, in the public goods game, the more anonymous decisions were amongst subjects the less the subjects opted to give in the one-shot version</w:t>
      </w:r>
      <w:r>
        <w:t xml:space="preserve"> of the game.</w:t>
      </w:r>
    </w:p>
    <w:p w:rsidR="001F4DAE" w:rsidRDefault="00FA169C">
      <w:pPr>
        <w:pStyle w:val="BodyText"/>
        <w:jc w:val="both"/>
      </w:pPr>
      <w:r>
        <w:t>Dana, Cain, and Dawes (2006) consider a variant of the dictator game where the proposer is given an initial endowment of $10 and, after having made his choice, is offered the option of exiting the game with $9. The exit option leaves the resp</w:t>
      </w:r>
      <w:r>
        <w:t>onder with nothing but ensures that he never knows that the game has been played. Even though proposers could get a higher payoff by engaging the receiver in a dictator game and not offering anything, 28% of the proposers opted for the exit option, perhaps</w:t>
      </w:r>
      <w:r>
        <w:t xml:space="preserve"> because they didn’t want to appear unfair to the receiver were they to enter the dictator game. In their second experiment the receiver never knows whether the money offered to them comes from the proposer or from the experimenters, thus allowing the auth</w:t>
      </w:r>
      <w:r>
        <w:t xml:space="preserve">ors to determine with more clarity whether appearing to be fair is </w:t>
      </w:r>
      <w:r>
        <w:lastRenderedPageBreak/>
        <w:t>indeed a concern for proposers. They find that 9 out of 24 proposers exited, which does imply a significant minority of proposers is concerned about not appearing self-regarding to the rece</w:t>
      </w:r>
      <w:r>
        <w:t>ivers.</w:t>
      </w:r>
    </w:p>
    <w:p w:rsidR="001F4DAE" w:rsidRDefault="00FA169C">
      <w:pPr>
        <w:pStyle w:val="BodyText"/>
        <w:jc w:val="both"/>
      </w:pPr>
      <w:r>
        <w:t>In Dana, Weber, and Kuang (2007) a variant of the dictator game is played. Proposers are sorted into two different treatments, the baseline and the hidden payoff treatment. In the baseline treatment, the proposer can choose one of two actions, A and</w:t>
      </w:r>
      <w:r>
        <w:t xml:space="preserve"> B, with respective payoffs </w:t>
      </w:r>
      <m:oMath>
        <m:d>
          <m:dPr>
            <m:ctrlPr>
              <w:rPr>
                <w:rFonts w:ascii="Cambria Math" w:hAnsi="Cambria Math"/>
              </w:rPr>
            </m:ctrlPr>
          </m:dPr>
          <m:e>
            <m:r>
              <w:rPr>
                <w:rFonts w:ascii="Cambria Math" w:hAnsi="Cambria Math"/>
              </w:rPr>
              <m:t>6,1</m:t>
            </m:r>
          </m:e>
        </m:d>
      </m:oMath>
      <w:r>
        <w:t xml:space="preserve"> and </w:t>
      </w:r>
      <m:oMath>
        <m:d>
          <m:dPr>
            <m:ctrlPr>
              <w:rPr>
                <w:rFonts w:ascii="Cambria Math" w:hAnsi="Cambria Math"/>
              </w:rPr>
            </m:ctrlPr>
          </m:dPr>
          <m:e>
            <m:r>
              <w:rPr>
                <w:rFonts w:ascii="Cambria Math" w:hAnsi="Cambria Math"/>
              </w:rPr>
              <m:t>5,5</m:t>
            </m:r>
          </m:e>
        </m:d>
      </m:oMath>
      <w:r>
        <w:t xml:space="preserve"> for the proposer and responder respectively. In the hidden payoff treatment the payoff for the responder is uncertain, so proposers must choose between actions A and B where the payoffs are shown to them as </w:t>
      </w:r>
      <m:oMath>
        <m:d>
          <m:dPr>
            <m:ctrlPr>
              <w:rPr>
                <w:rFonts w:ascii="Cambria Math" w:hAnsi="Cambria Math"/>
              </w:rPr>
            </m:ctrlPr>
          </m:dPr>
          <m:e>
            <m:r>
              <w:rPr>
                <w:rFonts w:ascii="Cambria Math" w:hAnsi="Cambria Math"/>
              </w:rPr>
              <m:t>6,?</m:t>
            </m:r>
          </m:e>
        </m:d>
      </m:oMath>
      <w:r>
        <w:t xml:space="preserve"> and </w:t>
      </w:r>
      <m:oMath>
        <m:d>
          <m:dPr>
            <m:ctrlPr>
              <w:rPr>
                <w:rFonts w:ascii="Cambria Math" w:hAnsi="Cambria Math"/>
              </w:rPr>
            </m:ctrlPr>
          </m:dPr>
          <m:e>
            <m:r>
              <w:rPr>
                <w:rFonts w:ascii="Cambria Math" w:hAnsi="Cambria Math"/>
              </w:rPr>
              <m:t>5</m:t>
            </m:r>
            <m:r>
              <w:rPr>
                <w:rFonts w:ascii="Cambria Math" w:hAnsi="Cambria Math"/>
              </w:rPr>
              <m:t>,?</m:t>
            </m:r>
          </m:e>
        </m:d>
      </m:oMath>
      <w:r>
        <w:t xml:space="preserve">. All subjects are told that the payoffs from A and B are equally likely to be either </w:t>
      </w:r>
      <m:oMath>
        <m:d>
          <m:dPr>
            <m:ctrlPr>
              <w:rPr>
                <w:rFonts w:ascii="Cambria Math" w:hAnsi="Cambria Math"/>
              </w:rPr>
            </m:ctrlPr>
          </m:dPr>
          <m:e>
            <m:r>
              <w:rPr>
                <w:rFonts w:ascii="Cambria Math" w:hAnsi="Cambria Math"/>
              </w:rPr>
              <m:t>i</m:t>
            </m:r>
          </m:e>
        </m:d>
        <m:d>
          <m:dPr>
            <m:ctrlPr>
              <w:rPr>
                <w:rFonts w:ascii="Cambria Math" w:hAnsi="Cambria Math"/>
              </w:rPr>
            </m:ctrlPr>
          </m:dPr>
          <m:e>
            <m:r>
              <w:rPr>
                <w:rFonts w:ascii="Cambria Math" w:hAnsi="Cambria Math"/>
              </w:rPr>
              <m:t>6,1</m:t>
            </m:r>
          </m:e>
        </m:d>
      </m:oMath>
      <w:r>
        <w:t xml:space="preserve"> and </w:t>
      </w:r>
      <m:oMath>
        <m:d>
          <m:dPr>
            <m:ctrlPr>
              <w:rPr>
                <w:rFonts w:ascii="Cambria Math" w:hAnsi="Cambria Math"/>
              </w:rPr>
            </m:ctrlPr>
          </m:dPr>
          <m:e>
            <m:r>
              <w:rPr>
                <w:rFonts w:ascii="Cambria Math" w:hAnsi="Cambria Math"/>
              </w:rPr>
              <m:t>5,5</m:t>
            </m:r>
          </m:e>
        </m:d>
      </m:oMath>
      <w:r>
        <w:t xml:space="preserve">, or </w:t>
      </w:r>
      <m:oMath>
        <m:d>
          <m:dPr>
            <m:ctrlPr>
              <w:rPr>
                <w:rFonts w:ascii="Cambria Math" w:hAnsi="Cambria Math"/>
              </w:rPr>
            </m:ctrlPr>
          </m:dPr>
          <m:e>
            <m:r>
              <w:rPr>
                <w:rFonts w:ascii="Cambria Math" w:hAnsi="Cambria Math"/>
              </w:rPr>
              <m:t>ii</m:t>
            </m:r>
          </m:e>
        </m:d>
        <m:d>
          <m:dPr>
            <m:ctrlPr>
              <w:rPr>
                <w:rFonts w:ascii="Cambria Math" w:hAnsi="Cambria Math"/>
              </w:rPr>
            </m:ctrlPr>
          </m:dPr>
          <m:e>
            <m:r>
              <w:rPr>
                <w:rFonts w:ascii="Cambria Math" w:hAnsi="Cambria Math"/>
              </w:rPr>
              <m:t>6,5</m:t>
            </m:r>
          </m:e>
        </m:d>
      </m:oMath>
      <w:r>
        <w:t xml:space="preserve"> and </w:t>
      </w:r>
      <m:oMath>
        <m:d>
          <m:dPr>
            <m:ctrlPr>
              <w:rPr>
                <w:rFonts w:ascii="Cambria Math" w:hAnsi="Cambria Math"/>
              </w:rPr>
            </m:ctrlPr>
          </m:dPr>
          <m:e>
            <m:r>
              <w:rPr>
                <w:rFonts w:ascii="Cambria Math" w:hAnsi="Cambria Math"/>
              </w:rPr>
              <m:t>5,1</m:t>
            </m:r>
          </m:e>
        </m:d>
      </m:oMath>
      <w:r>
        <w:t xml:space="preserve">. The proposer can, at no cost to himself, choose to reveal the payoffs by clicking a button on the computer screen, and the responder </w:t>
      </w:r>
      <w:r>
        <w:t xml:space="preserve">is not made aware of that this choice has been made. The prediction is that if altruism is a better motivator for the proposer’s actions the proposer will choose B in </w:t>
      </w:r>
      <m:oMath>
        <m:d>
          <m:dPr>
            <m:ctrlPr>
              <w:rPr>
                <w:rFonts w:ascii="Cambria Math" w:hAnsi="Cambria Math"/>
              </w:rPr>
            </m:ctrlPr>
          </m:dPr>
          <m:e>
            <m:r>
              <w:rPr>
                <w:rFonts w:ascii="Cambria Math" w:hAnsi="Cambria Math"/>
              </w:rPr>
              <m:t>i</m:t>
            </m:r>
          </m:e>
        </m:d>
      </m:oMath>
      <w:r>
        <w:t xml:space="preserve"> and A in </w:t>
      </w:r>
      <m:oMath>
        <m:d>
          <m:dPr>
            <m:ctrlPr>
              <w:rPr>
                <w:rFonts w:ascii="Cambria Math" w:hAnsi="Cambria Math"/>
              </w:rPr>
            </m:ctrlPr>
          </m:dPr>
          <m:e>
            <m:r>
              <w:rPr>
                <w:rFonts w:ascii="Cambria Math" w:hAnsi="Cambria Math"/>
              </w:rPr>
              <m:t>ii</m:t>
            </m:r>
          </m:e>
        </m:d>
      </m:oMath>
      <w:r>
        <w:t>.</w:t>
      </w:r>
    </w:p>
    <w:p w:rsidR="001F4DAE" w:rsidRDefault="00FA169C">
      <w:pPr>
        <w:pStyle w:val="BodyText"/>
        <w:jc w:val="both"/>
      </w:pPr>
      <w:r>
        <w:t>By comparing the proportion of proposers that chose option B in the bas</w:t>
      </w:r>
      <w:r>
        <w:t>eline treatment with the proportion in the hidden payoff treatment that chose to reveal the payoffs the authors are able to infer whether inequity aversion is an important motivation behind the offers.</w:t>
      </w:r>
    </w:p>
    <w:p w:rsidR="001F4DAE" w:rsidRDefault="00FA169C">
      <w:pPr>
        <w:pStyle w:val="BodyText"/>
        <w:jc w:val="both"/>
      </w:pPr>
      <w:r>
        <w:t>They find 14 out of 19, or 74%, of proposers in the ba</w:t>
      </w:r>
      <w:r>
        <w:t xml:space="preserve">seline treatment chose the more generous option B. However, in the hidden payoff treatment, 56% did not choose to click the button to reveal the payoffs, a difference in proportion that is </w:t>
      </w:r>
      <w:r>
        <w:lastRenderedPageBreak/>
        <w:t>statistically significant. These differences imply that the appeara</w:t>
      </w:r>
      <w:r>
        <w:t>nce of being fair is an important determinant in the offers made in the dictator game and that inequity aversion does not provide a full explanation. It is possible then that at least part of the positive offers in dictator games are made not because propo</w:t>
      </w:r>
      <w:r>
        <w:t xml:space="preserve">sers are </w:t>
      </w:r>
      <w:r>
        <w:rPr>
          <w:i/>
        </w:rPr>
        <w:t>altruists</w:t>
      </w:r>
      <w:r>
        <w:t xml:space="preserve"> but because they are </w:t>
      </w:r>
      <w:r>
        <w:rPr>
          <w:i/>
        </w:rPr>
        <w:t>reluctant altruists</w:t>
      </w:r>
      <w:r>
        <w:t>. They want to appear to be altruists to everyone else but they would much rather keep the money to themselves.</w:t>
      </w:r>
    </w:p>
    <w:p w:rsidR="001F4DAE" w:rsidRDefault="00FA169C">
      <w:pPr>
        <w:pStyle w:val="Heading2"/>
        <w:jc w:val="both"/>
      </w:pPr>
      <w:bookmarkStart w:id="6" w:name="gift-exchange-and-trust-games"/>
      <w:bookmarkEnd w:id="6"/>
      <w:r>
        <w:t>Gift exchange and trust games</w:t>
      </w:r>
    </w:p>
    <w:p w:rsidR="001F4DAE" w:rsidRDefault="00FA169C">
      <w:pPr>
        <w:pStyle w:val="Heading3"/>
        <w:jc w:val="both"/>
      </w:pPr>
      <w:bookmarkStart w:id="7" w:name="the-gift-exchange-game"/>
      <w:bookmarkEnd w:id="7"/>
      <w:r>
        <w:t>The gift exchange game</w:t>
      </w:r>
    </w:p>
    <w:p w:rsidR="001F4DAE" w:rsidRDefault="00FA169C">
      <w:pPr>
        <w:pStyle w:val="FirstParagraph"/>
        <w:jc w:val="both"/>
      </w:pPr>
      <w:r>
        <w:t>The gift exchange game was intro</w:t>
      </w:r>
      <w:r>
        <w:t>duced by Fehr, Kirchsteiger, and Riedl (1993) in an attempt to empirically investigate whether the notion of fairness held by agents impeded the formation of a market clearing equilibrium in labor markets, a topic first broached by Akerlof (1982).</w:t>
      </w:r>
    </w:p>
    <w:p w:rsidR="001F4DAE" w:rsidRDefault="00FA169C">
      <w:pPr>
        <w:pStyle w:val="BodyText"/>
        <w:jc w:val="both"/>
      </w:pPr>
      <w:r>
        <w:t xml:space="preserve">In the </w:t>
      </w:r>
      <w:r>
        <w:rPr>
          <w:i/>
        </w:rPr>
        <w:t>g</w:t>
      </w:r>
      <w:r>
        <w:rPr>
          <w:i/>
        </w:rPr>
        <w:t>ift exchange game</w:t>
      </w:r>
      <w:r>
        <w:t xml:space="preserve">, two players are each assigned one of two roles: a firm or a worker. The firm offers a wage </w:t>
      </w:r>
      <m:oMath>
        <m:r>
          <w:rPr>
            <w:rFonts w:ascii="Cambria Math" w:hAnsi="Cambria Math"/>
          </w:rPr>
          <m:t>w</m:t>
        </m:r>
      </m:oMath>
      <w:r>
        <w:t xml:space="preserve"> to the worker, which the worker can then reject, in which case both earn nothing, or accept, in which case the worker must now expend an effort</w:t>
      </w:r>
      <w:r>
        <w:t xml:space="preserve"> level, </w:t>
      </w:r>
      <m:oMath>
        <m:r>
          <w:rPr>
            <w:rFonts w:ascii="Cambria Math" w:hAnsi="Cambria Math"/>
          </w:rPr>
          <m:t>e</m:t>
        </m:r>
      </m:oMath>
      <w:r>
        <w:t>, of his choice.</w:t>
      </w:r>
    </w:p>
    <w:p w:rsidR="001F4DAE" w:rsidRDefault="00FA169C">
      <w:pPr>
        <w:pStyle w:val="BodyText"/>
        <w:jc w:val="both"/>
      </w:pPr>
      <w:r>
        <w:t xml:space="preserve">The standard prediction in such a setting can be discerned using a neoclassical model. Suppose the firm decides to offer the same wage to all its workers, </w:t>
      </w:r>
      <m:oMath>
        <m:r>
          <w:rPr>
            <w:rFonts w:ascii="Cambria Math" w:hAnsi="Cambria Math"/>
          </w:rPr>
          <m:t>ω</m:t>
        </m:r>
        <m:r>
          <w:rPr>
            <w:rFonts w:ascii="Cambria Math" w:hAnsi="Cambria Math"/>
          </w:rPr>
          <m:t>=</m:t>
        </m:r>
        <m:bar>
          <m:barPr>
            <m:pos m:val="top"/>
            <m:ctrlPr>
              <w:rPr>
                <w:rFonts w:ascii="Cambria Math" w:hAnsi="Cambria Math"/>
              </w:rPr>
            </m:ctrlPr>
          </m:barPr>
          <m:e>
            <m:r>
              <w:rPr>
                <w:rFonts w:ascii="Cambria Math" w:hAnsi="Cambria Math"/>
              </w:rPr>
              <m:t>ω</m:t>
            </m:r>
          </m:e>
        </m:bar>
      </m:oMath>
      <w:r>
        <w:t xml:space="preserve">. Workers have a utility function, </w:t>
      </w:r>
      <m:oMath>
        <m:r>
          <w:rPr>
            <w:rFonts w:ascii="Cambria Math" w:hAnsi="Cambria Math"/>
          </w:rPr>
          <m:t>u</m:t>
        </m:r>
        <m:d>
          <m:dPr>
            <m:ctrlPr>
              <w:rPr>
                <w:rFonts w:ascii="Cambria Math" w:hAnsi="Cambria Math"/>
              </w:rPr>
            </m:ctrlPr>
          </m:dPr>
          <m:e>
            <m:r>
              <w:rPr>
                <w:rFonts w:ascii="Cambria Math" w:hAnsi="Cambria Math"/>
              </w:rPr>
              <m:t>ω</m:t>
            </m:r>
            <m:r>
              <w:rPr>
                <w:rFonts w:ascii="Cambria Math" w:hAnsi="Cambria Math"/>
              </w:rPr>
              <m:t>,</m:t>
            </m:r>
            <m:r>
              <w:rPr>
                <w:rFonts w:ascii="Cambria Math" w:hAnsi="Cambria Math"/>
              </w:rPr>
              <m:t>e</m:t>
            </m:r>
          </m:e>
        </m:d>
      </m:oMath>
      <w:r>
        <w:t xml:space="preserve">, where </w:t>
      </w:r>
      <m:oMath>
        <m:r>
          <w:rPr>
            <w:rFonts w:ascii="Cambria Math" w:hAnsi="Cambria Math"/>
          </w:rPr>
          <m:t>ω</m:t>
        </m:r>
      </m:oMath>
      <w:r>
        <w:t xml:space="preserve"> is the wage rate</w:t>
      </w:r>
      <w:r>
        <w:t xml:space="preserve"> and </w:t>
      </w:r>
      <m:oMath>
        <m:r>
          <w:rPr>
            <w:rFonts w:ascii="Cambria Math" w:hAnsi="Cambria Math"/>
          </w:rPr>
          <m:t>e</m:t>
        </m:r>
      </m:oMath>
      <w:r>
        <w:t xml:space="preserve"> is the effort level they expend. The firm dictates that workers provide a minimum effort level in exchange for their wage, </w:t>
      </w:r>
      <m:oMath>
        <m:sSub>
          <m:sSubPr>
            <m:ctrlPr>
              <w:rPr>
                <w:rFonts w:ascii="Cambria Math" w:hAnsi="Cambria Math"/>
              </w:rPr>
            </m:ctrlPr>
          </m:sSubPr>
          <m:e>
            <m:r>
              <w:rPr>
                <w:rFonts w:ascii="Cambria Math" w:hAnsi="Cambria Math"/>
              </w:rPr>
              <m:t>e</m:t>
            </m:r>
          </m:e>
          <m:sub>
            <m:r>
              <w:rPr>
                <w:rFonts w:ascii="Cambria Math" w:hAnsi="Cambria Math"/>
              </w:rPr>
              <m:t>min</m:t>
            </m:r>
          </m:sub>
        </m:sSub>
      </m:oMath>
      <w:r>
        <w:t>. Workers, mindful of the firm’s work rules, should choose their effort such that it maximizes:</w:t>
      </w:r>
    </w:p>
    <w:p w:rsidR="001F4DAE" w:rsidRDefault="00FA169C">
      <w:pPr>
        <w:pStyle w:val="BodyText"/>
        <w:jc w:val="both"/>
      </w:pPr>
      <m:oMathPara>
        <m:oMath>
          <m:r>
            <w:rPr>
              <w:rFonts w:ascii="Cambria Math" w:hAnsi="Cambria Math"/>
            </w:rPr>
            <w:lastRenderedPageBreak/>
            <m:t>u</m:t>
          </m:r>
          <m:d>
            <m:dPr>
              <m:ctrlPr>
                <w:rPr>
                  <w:rFonts w:ascii="Cambria Math" w:hAnsi="Cambria Math"/>
                </w:rPr>
              </m:ctrlPr>
            </m:dPr>
            <m:e>
              <m:r>
                <w:rPr>
                  <w:rFonts w:ascii="Cambria Math" w:hAnsi="Cambria Math"/>
                </w:rPr>
                <m:t>ω</m:t>
              </m:r>
              <m:r>
                <w:rPr>
                  <w:rFonts w:ascii="Cambria Math" w:hAnsi="Cambria Math"/>
                </w:rPr>
                <m:t>,</m:t>
              </m:r>
              <m:r>
                <w:rPr>
                  <w:rFonts w:ascii="Cambria Math" w:hAnsi="Cambria Math"/>
                </w:rPr>
                <m:t>e</m:t>
              </m:r>
            </m:e>
          </m:d>
        </m:oMath>
      </m:oMathPara>
    </w:p>
    <w:p w:rsidR="001F4DAE" w:rsidRDefault="00FA169C">
      <w:pPr>
        <w:pStyle w:val="BodyText"/>
        <w:jc w:val="both"/>
      </w:pPr>
      <w:r>
        <w:t>subject to th</w:t>
      </w:r>
      <w:r>
        <w:t>e constraints</w:t>
      </w:r>
    </w:p>
    <w:p w:rsidR="001F4DAE" w:rsidRDefault="00FA169C">
      <w:pPr>
        <w:pStyle w:val="BodyText"/>
        <w:jc w:val="both"/>
      </w:pPr>
      <m:oMathPara>
        <m:oMath>
          <m:r>
            <w:rPr>
              <w:rFonts w:ascii="Cambria Math" w:hAnsi="Cambria Math"/>
            </w:rPr>
            <m:t>ω</m:t>
          </m:r>
          <m:r>
            <w:rPr>
              <w:rFonts w:ascii="Cambria Math" w:hAnsi="Cambria Math"/>
            </w:rPr>
            <m:t>=</m:t>
          </m:r>
          <m:bar>
            <m:barPr>
              <m:pos m:val="top"/>
              <m:ctrlPr>
                <w:rPr>
                  <w:rFonts w:ascii="Cambria Math" w:hAnsi="Cambria Math"/>
                </w:rPr>
              </m:ctrlPr>
            </m:barPr>
            <m:e>
              <m:r>
                <w:rPr>
                  <w:rFonts w:ascii="Cambria Math" w:hAnsi="Cambria Math"/>
                </w:rPr>
                <m:t>ω</m:t>
              </m:r>
            </m:e>
          </m:bar>
        </m:oMath>
      </m:oMathPara>
    </w:p>
    <w:p w:rsidR="001F4DAE" w:rsidRDefault="00FA169C">
      <w:pPr>
        <w:pStyle w:val="BodyText"/>
        <w:jc w:val="both"/>
      </w:pPr>
      <w:r>
        <w:t>and</w:t>
      </w:r>
    </w:p>
    <w:p w:rsidR="001F4DAE" w:rsidRDefault="00FA169C">
      <w:pPr>
        <w:pStyle w:val="BodyText"/>
        <w:jc w:val="both"/>
      </w:pPr>
      <m:oMathPara>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min</m:t>
              </m:r>
            </m:sub>
          </m:sSub>
        </m:oMath>
      </m:oMathPara>
    </w:p>
    <w:p w:rsidR="001F4DAE" w:rsidRDefault="00FA169C">
      <w:pPr>
        <w:pStyle w:val="BodyText"/>
        <w:jc w:val="both"/>
      </w:pPr>
      <w:r>
        <w:t xml:space="preserve">This maximization problem yields the prediction that workers will choose the lowest effort level possible, </w:t>
      </w:r>
      <m:oMath>
        <m:sSub>
          <m:sSubPr>
            <m:ctrlPr>
              <w:rPr>
                <w:rFonts w:ascii="Cambria Math" w:hAnsi="Cambria Math"/>
              </w:rPr>
            </m:ctrlPr>
          </m:sSubPr>
          <m:e>
            <m:r>
              <w:rPr>
                <w:rFonts w:ascii="Cambria Math" w:hAnsi="Cambria Math"/>
              </w:rPr>
              <m:t>e</m:t>
            </m:r>
          </m:e>
          <m:sub>
            <m:r>
              <w:rPr>
                <w:rFonts w:ascii="Cambria Math" w:hAnsi="Cambria Math"/>
              </w:rPr>
              <m:t>min</m:t>
            </m:r>
          </m:sub>
        </m:sSub>
      </m:oMath>
      <w:r>
        <w:t xml:space="preserve">. The firm, aware of this, will set </w:t>
      </w:r>
      <m:oMath>
        <m:bar>
          <m:barPr>
            <m:pos m:val="top"/>
            <m:ctrlPr>
              <w:rPr>
                <w:rFonts w:ascii="Cambria Math" w:hAnsi="Cambria Math"/>
              </w:rPr>
            </m:ctrlPr>
          </m:barPr>
          <m:e>
            <m:r>
              <w:rPr>
                <w:rFonts w:ascii="Cambria Math" w:hAnsi="Cambria Math"/>
              </w:rPr>
              <m:t>ω</m:t>
            </m:r>
          </m:e>
        </m:bar>
      </m:oMath>
      <w:r>
        <w:t xml:space="preserve"> as low as possible in an effort to maximize profits.</w:t>
      </w:r>
    </w:p>
    <w:p w:rsidR="001F4DAE" w:rsidRDefault="00FA169C">
      <w:pPr>
        <w:pStyle w:val="BodyText"/>
        <w:jc w:val="both"/>
      </w:pPr>
      <w:r>
        <w:t>In his paper,</w:t>
      </w:r>
      <w:r>
        <w:t xml:space="preserve"> George Akerlof is motivated to explore the effects of fairness in the formation of involuntary unemployment due to the curious results from a study of social relations among workers at a utility company in the eastern United States (Homans 1954).</w:t>
      </w:r>
    </w:p>
    <w:p w:rsidR="001F4DAE" w:rsidRDefault="00FA169C">
      <w:pPr>
        <w:pStyle w:val="BodyText"/>
        <w:jc w:val="both"/>
      </w:pPr>
      <w:r>
        <w:t xml:space="preserve">In this </w:t>
      </w:r>
      <w:r>
        <w:t xml:space="preserve">study, a group of women were found to be exceeding the minimum work requirements set by the firm by a considerable margin, a behavior that the neoclassical model above does not predict. Akerlof envisions this seemingly perplexing behavior as the result of </w:t>
      </w:r>
      <w:r>
        <w:t>the firm and the workers modelling their relationship as a “gift” exchange mediated by endogenous social norms. The workers offer a “gift” to the firm in the form of additional effort level, and in exchange the firm offers a “gift” in the form of a wage th</w:t>
      </w:r>
      <w:r>
        <w:t xml:space="preserve">at the workers consider fair and that is in excess of what they could receive were they to leave their jobs. Thus, a labor market equilibrium is created where workers work harder because they are </w:t>
      </w:r>
      <w:r>
        <w:lastRenderedPageBreak/>
        <w:t xml:space="preserve">paid above opportunity cost. This wage level is higher than </w:t>
      </w:r>
      <w:r>
        <w:t>the market clearing one, ensuring that unemployment is present in equilibrium.</w:t>
      </w:r>
    </w:p>
    <w:p w:rsidR="001F4DAE" w:rsidRDefault="00FA169C">
      <w:pPr>
        <w:pStyle w:val="BodyText"/>
        <w:jc w:val="both"/>
      </w:pPr>
      <w:r>
        <w:t xml:space="preserve">The gift exchange game permits us to study the level of </w:t>
      </w:r>
      <w:r>
        <w:rPr>
          <w:i/>
        </w:rPr>
        <w:t>intrinsic reciprocity</w:t>
      </w:r>
      <w:r>
        <w:t xml:space="preserve"> in social relations such as the one described previously. This reciprocity falls in the category of</w:t>
      </w:r>
      <w:r>
        <w:t xml:space="preserve"> other-regarding preferences.</w:t>
      </w:r>
    </w:p>
    <w:p w:rsidR="001F4DAE" w:rsidRDefault="00FA169C">
      <w:pPr>
        <w:pStyle w:val="BodyText"/>
        <w:jc w:val="both"/>
      </w:pPr>
      <w:r>
        <w:t>Consider the following experiment from Fehr, Gächter, and Kirchsteiger (1997) Subjects were assigned into one of two roles: a principal or an agent. Identities were kept anonymous, so no reputation building was possible. Princ</w:t>
      </w:r>
      <w:r>
        <w:t>ipals make a job offer to the group of agents, meaning that principals stand in for employers and agents for workers. Agents are given the option to accept or reject the offer, and in an effort to spur competition there are more agents than principals. The</w:t>
      </w:r>
      <w:r>
        <w:t xml:space="preserve"> job offer consists of an incomplete contract, </w:t>
      </w:r>
      <m:oMath>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e>
        </m:d>
      </m:oMath>
      <w:r>
        <w:t xml:space="preserve">, that specifies a </w:t>
      </w:r>
      <w:r>
        <w:rPr>
          <w:i/>
        </w:rPr>
        <w:t>binding</w:t>
      </w:r>
      <w:r>
        <w:t xml:space="preserve"> wage level, </w:t>
      </w:r>
      <m:oMath>
        <m:sSub>
          <m:sSubPr>
            <m:ctrlPr>
              <w:rPr>
                <w:rFonts w:ascii="Cambria Math" w:hAnsi="Cambria Math"/>
              </w:rPr>
            </m:ctrlPr>
          </m:sSubPr>
          <m:e>
            <m:r>
              <w:rPr>
                <w:rFonts w:ascii="Cambria Math" w:hAnsi="Cambria Math"/>
              </w:rPr>
              <m:t>w</m:t>
            </m:r>
          </m:e>
          <m:sub>
            <m:r>
              <w:rPr>
                <w:rFonts w:ascii="Cambria Math" w:hAnsi="Cambria Math"/>
              </w:rPr>
              <m:t>b</m:t>
            </m:r>
          </m:sub>
        </m:sSub>
      </m:oMath>
      <w:r>
        <w:t xml:space="preserve">, and a </w:t>
      </w:r>
      <w:r>
        <w:rPr>
          <w:i/>
        </w:rPr>
        <w:t>non-binding</w:t>
      </w:r>
      <w:r>
        <w:t xml:space="preserve"> effort level, </w:t>
      </w:r>
      <m:oMath>
        <m:sSub>
          <m:sSubPr>
            <m:ctrlPr>
              <w:rPr>
                <w:rFonts w:ascii="Cambria Math" w:hAnsi="Cambria Math"/>
              </w:rPr>
            </m:ctrlPr>
          </m:sSubPr>
          <m:e>
            <m:r>
              <w:rPr>
                <w:rFonts w:ascii="Cambria Math" w:hAnsi="Cambria Math"/>
              </w:rPr>
              <m:t>e</m:t>
            </m:r>
          </m:e>
          <m:sub>
            <m:r>
              <w:rPr>
                <w:rFonts w:ascii="Cambria Math" w:hAnsi="Cambria Math"/>
              </w:rPr>
              <m:t>n</m:t>
            </m:r>
          </m:sub>
        </m:sSub>
      </m:oMath>
      <w:r>
        <w:t>. The choice of the effort level is represented by the choice of a number in which the higher the number the higher the</w:t>
      </w:r>
      <w:r>
        <w:t xml:space="preserve"> effort is, and the higher the costs borne by the agent are. Nothing in the experiment impedes agents from choosing an effort level that is lower than the proposed effort level in the contract as there is no punishment for doing so.</w:t>
      </w:r>
    </w:p>
    <w:p w:rsidR="001F4DAE" w:rsidRDefault="00FA169C">
      <w:pPr>
        <w:pStyle w:val="BodyText"/>
        <w:jc w:val="both"/>
      </w:pPr>
      <w:r>
        <w:t>The expected behavior f</w:t>
      </w:r>
      <w:r>
        <w:t>or both workers and firms are as noted earlier: agents will choose the lowest possible effort level and principals, knowing this, will offer the lowest possible wage level. However, if the principal believes there are sufficiently many reciprocal agents, h</w:t>
      </w:r>
      <w:r>
        <w:t xml:space="preserve">e has an incentive to offer higher wages in an attempt to induce higher effort levels from the agents in reciprocity. Additionally, agents may </w:t>
      </w:r>
      <w:r>
        <w:lastRenderedPageBreak/>
        <w:t>induce reciprocity by the firms by offering a higher effort level than the one initially proposed.</w:t>
      </w:r>
    </w:p>
    <w:p w:rsidR="001F4DAE" w:rsidRDefault="001F4DAE">
      <w:pPr>
        <w:pStyle w:val="BodyText"/>
        <w:jc w:val="both"/>
      </w:pPr>
    </w:p>
    <w:p w:rsidR="001F4DAE" w:rsidRDefault="001F4DAE">
      <w:pPr>
        <w:pStyle w:val="BodyText"/>
        <w:jc w:val="both"/>
      </w:pPr>
    </w:p>
    <w:p w:rsidR="001F4DAE" w:rsidRDefault="001F4DAE">
      <w:pPr>
        <w:pStyle w:val="BodyText"/>
        <w:jc w:val="both"/>
      </w:pPr>
    </w:p>
    <w:p w:rsidR="001F4DAE" w:rsidRDefault="00FA169C">
      <w:pPr>
        <w:pStyle w:val="ImageCaption"/>
        <w:jc w:val="center"/>
        <w:rPr>
          <w:i w:val="0"/>
        </w:rPr>
      </w:pPr>
      <w:r>
        <w:rPr>
          <w:i w:val="0"/>
        </w:rPr>
        <w:t>Figure 2: R</w:t>
      </w:r>
      <w:r>
        <w:rPr>
          <w:i w:val="0"/>
        </w:rPr>
        <w:t>elation of desired and actual effort to the rent offered to workers.</w:t>
      </w:r>
    </w:p>
    <w:p w:rsidR="001F4DAE" w:rsidRDefault="00FA169C">
      <w:pPr>
        <w:pStyle w:val="FigurewithCaption"/>
        <w:jc w:val="both"/>
      </w:pPr>
      <w:r>
        <w:rPr>
          <w:noProof/>
        </w:rPr>
        <w:drawing>
          <wp:inline distT="0" distB="0" distL="0" distR="0">
            <wp:extent cx="5334000" cy="348170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334000" cy="3481705"/>
                    </a:xfrm>
                    <a:prstGeom prst="rect">
                      <a:avLst/>
                    </a:prstGeom>
                  </pic:spPr>
                </pic:pic>
              </a:graphicData>
            </a:graphic>
          </wp:inline>
        </w:drawing>
      </w:r>
      <w:r>
        <w:t xml:space="preserve"> </w:t>
      </w:r>
    </w:p>
    <w:p w:rsidR="001F4DAE" w:rsidRDefault="00FA169C">
      <w:pPr>
        <w:pStyle w:val="ImageCaption"/>
        <w:jc w:val="center"/>
        <w:rPr>
          <w:i w:val="0"/>
        </w:rPr>
      </w:pPr>
      <w:r>
        <w:rPr>
          <w:i w:val="0"/>
        </w:rPr>
        <w:t xml:space="preserve">Source: Fehr and Falk (2002) </w:t>
      </w:r>
    </w:p>
    <w:p w:rsidR="001F4DAE" w:rsidRDefault="00FA169C">
      <w:pPr>
        <w:pStyle w:val="BodyText"/>
        <w:jc w:val="both"/>
      </w:pPr>
      <w:r>
        <w:t>The experimental results are depicted in Figure 2. Two conclusions follow:</w:t>
      </w:r>
    </w:p>
    <w:p w:rsidR="001F4DAE" w:rsidRDefault="00FA169C">
      <w:pPr>
        <w:numPr>
          <w:ilvl w:val="0"/>
          <w:numId w:val="1"/>
        </w:numPr>
        <w:jc w:val="both"/>
      </w:pPr>
      <w:r>
        <w:t>Higher desired effort levels are associated with more generous offers to the wo</w:t>
      </w:r>
      <w:r>
        <w:t>rkers, which suggests employers try to elicit reciprocal responses from the workers</w:t>
      </w:r>
    </w:p>
    <w:p w:rsidR="001F4DAE" w:rsidRDefault="00FA169C">
      <w:pPr>
        <w:numPr>
          <w:ilvl w:val="0"/>
          <w:numId w:val="1"/>
        </w:numPr>
        <w:jc w:val="both"/>
      </w:pPr>
      <w:r>
        <w:rPr>
          <w:i/>
        </w:rPr>
        <w:t>On average</w:t>
      </w:r>
      <w:r>
        <w:t>, the workers respond reciprocally to the employer’s higher offers, though there is always a certain amount of shirking present.</w:t>
      </w:r>
    </w:p>
    <w:p w:rsidR="001F4DAE" w:rsidRDefault="00FA169C">
      <w:pPr>
        <w:pStyle w:val="FirstParagraph"/>
        <w:jc w:val="both"/>
      </w:pPr>
      <w:r>
        <w:lastRenderedPageBreak/>
        <w:t xml:space="preserve">The authors further add that </w:t>
      </w:r>
      <w:r>
        <w:rPr>
          <w:i/>
        </w:rPr>
        <w:t>“the</w:t>
      </w:r>
      <w:r>
        <w:rPr>
          <w:i/>
        </w:rPr>
        <w:t>re is also a substantial fraction of selfish workers who always choose the minimal effort or who rarely respond in a reciprocal manner.”</w:t>
      </w:r>
      <w:r>
        <w:t xml:space="preserve"> The authors summarize the evidence from multiple studies to suggest that the fraction of self-regarding agents lies bet</w:t>
      </w:r>
      <w:r>
        <w:t>ween 40% to 60%.</w:t>
      </w:r>
    </w:p>
    <w:p w:rsidR="001F4DAE" w:rsidRDefault="00FA169C">
      <w:pPr>
        <w:pStyle w:val="BodyText"/>
        <w:jc w:val="both"/>
      </w:pPr>
      <w:r>
        <w:t>While we will take up the issue of the external validity of laboratory experiments in a later section, it is worthwhile to point out some of the pushback against the main conclusions of the gift exchange game that have arisen from the resu</w:t>
      </w:r>
      <w:r>
        <w:t>lts gathered from the use of field studies to study reciprocity.</w:t>
      </w:r>
    </w:p>
    <w:p w:rsidR="001F4DAE" w:rsidRDefault="00FA169C">
      <w:pPr>
        <w:pStyle w:val="BodyText"/>
        <w:jc w:val="both"/>
      </w:pPr>
      <w:r>
        <w:t>Gneezy and List (2006) hired students to a data-entry job where they would enter books into a library information system. Each student performed the task alone, and were offered $12 for the j</w:t>
      </w:r>
      <w:r>
        <w:t>ob. In the experimental treatment, after the training phase, a portion of the students were informed they would receive $20 per hour, with no explanation for the increase in pay. Students in the control condition were payed the previously agreed upon $12.</w:t>
      </w:r>
    </w:p>
    <w:p w:rsidR="001F4DAE" w:rsidRDefault="00FA169C">
      <w:pPr>
        <w:pStyle w:val="BodyText"/>
        <w:jc w:val="both"/>
      </w:pPr>
      <w:r>
        <w:t>The results seemed to cast doubt over the idea that offering a wage premium is an effective measure to elicit higher worker performance. In the first 90 minutes, those workers in the treatment condition produced around 25% more than their control peers. Al</w:t>
      </w:r>
      <w:r>
        <w:t>though this percentage difference in effort is noteworthy, the increase in effort vanished as the experiment continued and effort levels for both treatment and control conditions where found to not be significantly different. The authors interpret their re</w:t>
      </w:r>
      <w:r>
        <w:t xml:space="preserve">sults as showing that while higher wages are reciprocated by greater effort on the part of the workers, this higher effort is not persistent and thus </w:t>
      </w:r>
      <w:r>
        <w:lastRenderedPageBreak/>
        <w:t>we need be careful to extrapolate from the single round interactions featured in the gift exchange game to</w:t>
      </w:r>
      <w:r>
        <w:t xml:space="preserve"> how these relationships actually develop in the real world.</w:t>
      </w:r>
    </w:p>
    <w:p w:rsidR="001F4DAE" w:rsidRDefault="00FA169C">
      <w:pPr>
        <w:pStyle w:val="BodyText"/>
        <w:jc w:val="both"/>
      </w:pPr>
      <w:r>
        <w:t>A problem with Gneezy and List (2006) is that of a small sample size, which limits their ability to detect statistical significance if the effect of a wage premium on effort is modest or small, a</w:t>
      </w:r>
      <w:r>
        <w:t xml:space="preserve"> point mentioned by Fehr, Goette, and Zehnder (2009). Indeed, Cohn, Fehr, and Goette (2008) use a larger sample size, which allows them to have enough power to detect a statistically significant increase in effort from the increased wage, not replicating G</w:t>
      </w:r>
      <w:r>
        <w:t>neezy and List (2006). Fehr, Goette, and Zehnder (2009) surveys the literature and concludes the positive relationship between wage and effort to be robust and well replicated.</w:t>
      </w:r>
    </w:p>
    <w:p w:rsidR="001F4DAE" w:rsidRDefault="00FA169C">
      <w:pPr>
        <w:pStyle w:val="Heading3"/>
        <w:jc w:val="both"/>
      </w:pPr>
      <w:bookmarkStart w:id="8" w:name="the-trust-game"/>
      <w:bookmarkEnd w:id="8"/>
      <w:r>
        <w:t>The trust game</w:t>
      </w:r>
    </w:p>
    <w:p w:rsidR="001F4DAE" w:rsidRDefault="00FA169C">
      <w:pPr>
        <w:pStyle w:val="FirstParagraph"/>
        <w:jc w:val="both"/>
      </w:pPr>
      <w:r>
        <w:t xml:space="preserve">The </w:t>
      </w:r>
      <w:r>
        <w:rPr>
          <w:i/>
        </w:rPr>
        <w:t>trust game</w:t>
      </w:r>
      <w:r>
        <w:t xml:space="preserve"> is played between an </w:t>
      </w:r>
      <w:r>
        <w:rPr>
          <w:i/>
        </w:rPr>
        <w:t>investor</w:t>
      </w:r>
      <w:r>
        <w:t xml:space="preserve"> and a </w:t>
      </w:r>
      <w:r>
        <w:rPr>
          <w:i/>
        </w:rPr>
        <w:t>responder</w:t>
      </w:r>
      <w:r>
        <w:t>. Ea</w:t>
      </w:r>
      <w:r>
        <w:t xml:space="preserve">ch player is endowed with a fixed amount of tokens, </w:t>
      </w:r>
      <m:oMath>
        <m:r>
          <w:rPr>
            <w:rFonts w:ascii="Cambria Math" w:hAnsi="Cambria Math"/>
          </w:rPr>
          <m:t>x</m:t>
        </m:r>
      </m:oMath>
      <w:r>
        <w:t xml:space="preserve">. The investor must decide an amount </w:t>
      </w:r>
      <m:oMath>
        <m:r>
          <w:rPr>
            <w:rFonts w:ascii="Cambria Math" w:hAnsi="Cambria Math"/>
          </w:rPr>
          <m:t>i</m:t>
        </m:r>
        <m:r>
          <w:rPr>
            <w:rFonts w:ascii="Cambria Math" w:hAnsi="Cambria Math"/>
          </w:rPr>
          <m:t>≤</m:t>
        </m:r>
        <m:r>
          <w:rPr>
            <w:rFonts w:ascii="Cambria Math" w:hAnsi="Cambria Math"/>
          </w:rPr>
          <m:t>x</m:t>
        </m:r>
      </m:oMath>
      <w:r>
        <w:t xml:space="preserve"> to send to, or invest with, the responder. Before the amount chosen is delivered to the responder, the experimenter multiplies it by a multiplier </w:t>
      </w:r>
      <m:oMath>
        <m:r>
          <w:rPr>
            <w:rFonts w:ascii="Cambria Math" w:hAnsi="Cambria Math"/>
          </w:rPr>
          <m:t>m</m:t>
        </m:r>
      </m:oMath>
      <w:r>
        <w:t xml:space="preserve">, meant to </w:t>
      </w:r>
      <w:r>
        <w:t xml:space="preserve">capture market return, and passes it on to the responder. The responder must then return an amount </w:t>
      </w:r>
      <m:oMath>
        <m:r>
          <w:rPr>
            <w:rFonts w:ascii="Cambria Math" w:hAnsi="Cambria Math"/>
          </w:rPr>
          <m:t>r</m:t>
        </m:r>
        <m:r>
          <w:rPr>
            <w:rFonts w:ascii="Cambria Math" w:hAnsi="Cambria Math"/>
          </w:rPr>
          <m:t>≤</m:t>
        </m:r>
        <m:r>
          <w:rPr>
            <w:rFonts w:ascii="Cambria Math" w:hAnsi="Cambria Math"/>
          </w:rPr>
          <m:t>mi</m:t>
        </m:r>
      </m:oMath>
      <w:r>
        <w:t xml:space="preserve"> back to the investor.</w:t>
      </w:r>
    </w:p>
    <w:p w:rsidR="001F4DAE" w:rsidRDefault="00FA169C">
      <w:pPr>
        <w:pStyle w:val="BodyText"/>
        <w:jc w:val="both"/>
      </w:pPr>
      <w:r>
        <w:t>If both subjects have self-regarding preferences then the responder will never send any money back to the investor. The investo</w:t>
      </w:r>
      <w:r>
        <w:t xml:space="preserve">r, correctly anticipating the responder’s behavior, will decide not to invest any amount </w:t>
      </w:r>
      <m:oMath>
        <m:r>
          <w:rPr>
            <w:rFonts w:ascii="Cambria Math" w:hAnsi="Cambria Math"/>
          </w:rPr>
          <m:t>i</m:t>
        </m:r>
      </m:oMath>
      <w:r>
        <w:t>.</w:t>
      </w:r>
      <w:r>
        <w:br/>
      </w:r>
    </w:p>
    <w:p w:rsidR="001F4DAE" w:rsidRDefault="001F4DAE">
      <w:pPr>
        <w:pStyle w:val="BodyText"/>
        <w:jc w:val="center"/>
      </w:pPr>
    </w:p>
    <w:p w:rsidR="001F4DAE" w:rsidRDefault="001F4DAE">
      <w:pPr>
        <w:pStyle w:val="BodyText"/>
        <w:jc w:val="center"/>
      </w:pPr>
    </w:p>
    <w:p w:rsidR="001F4DAE" w:rsidRDefault="001F4DAE">
      <w:pPr>
        <w:pStyle w:val="BodyText"/>
        <w:jc w:val="center"/>
      </w:pPr>
    </w:p>
    <w:p w:rsidR="001F4DAE" w:rsidRDefault="001F4DAE">
      <w:pPr>
        <w:pStyle w:val="BodyText"/>
        <w:jc w:val="center"/>
      </w:pPr>
    </w:p>
    <w:p w:rsidR="001F4DAE" w:rsidRDefault="001F4DAE">
      <w:pPr>
        <w:pStyle w:val="BodyText"/>
        <w:jc w:val="center"/>
      </w:pPr>
    </w:p>
    <w:p w:rsidR="001F4DAE" w:rsidRDefault="001F4DAE">
      <w:pPr>
        <w:pStyle w:val="BodyText"/>
        <w:jc w:val="center"/>
      </w:pPr>
    </w:p>
    <w:p w:rsidR="001F4DAE" w:rsidRDefault="00FA169C">
      <w:pPr>
        <w:pStyle w:val="BodyText"/>
        <w:jc w:val="center"/>
      </w:pPr>
      <w:r>
        <w:t>Figure 3: The trust game</w:t>
      </w:r>
    </w:p>
    <w:p w:rsidR="001F4DAE" w:rsidRDefault="00FA169C">
      <w:pPr>
        <w:pStyle w:val="BodyText"/>
        <w:jc w:val="center"/>
      </w:pPr>
      <w:r>
        <w:rPr>
          <w:noProof/>
        </w:rPr>
        <w:drawing>
          <wp:inline distT="0" distB="0" distL="0" distR="0">
            <wp:extent cx="3239770" cy="3456305"/>
            <wp:effectExtent l="0" t="0" r="0" b="0"/>
            <wp:docPr id="3" name="Image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
                    <pic:cNvPicPr>
                      <a:picLocks noChangeAspect="1" noChangeArrowheads="1"/>
                    </pic:cNvPicPr>
                  </pic:nvPicPr>
                  <pic:blipFill>
                    <a:blip r:embed="rId9"/>
                    <a:stretch>
                      <a:fillRect/>
                    </a:stretch>
                  </pic:blipFill>
                  <pic:spPr bwMode="auto">
                    <a:xfrm>
                      <a:off x="0" y="0"/>
                      <a:ext cx="3239770" cy="3456305"/>
                    </a:xfrm>
                    <a:prstGeom prst="rect">
                      <a:avLst/>
                    </a:prstGeom>
                  </pic:spPr>
                </pic:pic>
              </a:graphicData>
            </a:graphic>
          </wp:inline>
        </w:drawing>
      </w:r>
      <w:r>
        <w:t xml:space="preserve"> </w:t>
      </w:r>
    </w:p>
    <w:p w:rsidR="001F4DAE" w:rsidRDefault="00FA169C">
      <w:pPr>
        <w:pStyle w:val="BodyText"/>
        <w:jc w:val="both"/>
      </w:pPr>
      <w:r>
        <w:t>We can use a concrete example to prove this prediction. Let us assume a game with two players, Player 1 and Player 2. Both are endowed with $5. Player 1 can decide between keeping his endowment, in which case the game is ended and both players walk off wit</w:t>
      </w:r>
      <w:r>
        <w:t xml:space="preserve">h a payoff of $5, or he may pass the entire endowment to Player 2. If the latter, the endowment is tripled by the experimenter and it is then up to Player 2 to </w:t>
      </w:r>
      <w:r>
        <w:lastRenderedPageBreak/>
        <w:t>decide whether to keep the additional $15 for himself, or return, for example, $7.5 to Player 1.</w:t>
      </w:r>
      <w:r>
        <w:t xml:space="preserve"> The payoffs are, respectively, </w:t>
      </w:r>
      <m:oMath>
        <m:d>
          <m:dPr>
            <m:ctrlPr>
              <w:rPr>
                <w:rFonts w:ascii="Cambria Math" w:hAnsi="Cambria Math"/>
              </w:rPr>
            </m:ctrlPr>
          </m:dPr>
          <m:e>
            <m:r>
              <w:rPr>
                <w:rFonts w:ascii="Cambria Math" w:hAnsi="Cambria Math"/>
              </w:rPr>
              <m:t>$0,$20</m:t>
            </m:r>
          </m:e>
        </m:d>
      </m:oMath>
      <w:r>
        <w:t xml:space="preserve">, and </w:t>
      </w:r>
      <m:oMath>
        <m:d>
          <m:dPr>
            <m:ctrlPr>
              <w:rPr>
                <w:rFonts w:ascii="Cambria Math" w:hAnsi="Cambria Math"/>
              </w:rPr>
            </m:ctrlPr>
          </m:dPr>
          <m:e>
            <m:r>
              <w:rPr>
                <w:rFonts w:ascii="Cambria Math" w:hAnsi="Cambria Math"/>
              </w:rPr>
              <m:t>$7.5,$12.5</m:t>
            </m:r>
          </m:e>
        </m:d>
      </m:oMath>
    </w:p>
    <w:p w:rsidR="001F4DAE" w:rsidRDefault="00FA169C">
      <w:pPr>
        <w:pStyle w:val="BodyText"/>
        <w:jc w:val="both"/>
      </w:pPr>
      <w:r>
        <w:t>The subgame perfect Nash Equilibrium of the trust game for the self-regarding preferences model can be determined using backward induction. In the second stage of the game, Player 2 maximizes his payof</w:t>
      </w:r>
      <w:r>
        <w:t xml:space="preserve">f by defecting and walking off with the full amount. Predicting this, Player 1 will not send his endowment to Player 2. Thus, the predicted payoff will be </w:t>
      </w:r>
      <m:oMath>
        <m:d>
          <m:dPr>
            <m:ctrlPr>
              <w:rPr>
                <w:rFonts w:ascii="Cambria Math" w:hAnsi="Cambria Math"/>
              </w:rPr>
            </m:ctrlPr>
          </m:dPr>
          <m:e>
            <m:r>
              <w:rPr>
                <w:rFonts w:ascii="Cambria Math" w:hAnsi="Cambria Math"/>
              </w:rPr>
              <m:t>$5,$5</m:t>
            </m:r>
          </m:e>
        </m:d>
      </m:oMath>
      <w:r>
        <w:t xml:space="preserve">, that is, both players walk out with their initial endowment, having not cooperated. </w:t>
      </w:r>
      <w:r>
        <w:t>Traditionally, trust game experimenters allow for both players to choose how much they intend to send to the other player, but this does not change what the subgame perfect equilibrium is.</w:t>
      </w:r>
    </w:p>
    <w:p w:rsidR="001F4DAE" w:rsidRDefault="00FA169C">
      <w:pPr>
        <w:pStyle w:val="BodyText"/>
        <w:jc w:val="both"/>
      </w:pPr>
      <w:r>
        <w:t>The share of the endowment the investor decides to invest is said t</w:t>
      </w:r>
      <w:r>
        <w:t>o capture trust and the share sent by the responder, thrustworthiness. Both are forms of other-regarding preferences.</w:t>
      </w:r>
    </w:p>
    <w:p w:rsidR="001F4DAE" w:rsidRDefault="00FA169C">
      <w:pPr>
        <w:pStyle w:val="BodyText"/>
        <w:jc w:val="both"/>
      </w:pPr>
      <w:r>
        <w:t>If both players have self-regarding preferences, then the subgame perfect equilibrium will be met. However, if both players have other-reg</w:t>
      </w:r>
      <w:r>
        <w:t xml:space="preserve">arding preferences we should see a positive amount sent by the investor, </w:t>
      </w:r>
      <m:oMath>
        <m:r>
          <w:rPr>
            <w:rFonts w:ascii="Cambria Math" w:hAnsi="Cambria Math"/>
          </w:rPr>
          <m:t>i</m:t>
        </m:r>
        <m:r>
          <w:rPr>
            <w:rFonts w:ascii="Cambria Math" w:hAnsi="Cambria Math"/>
          </w:rPr>
          <m:t>&gt;0</m:t>
        </m:r>
      </m:oMath>
      <w:r>
        <w:t xml:space="preserve">, and a positive amount returned by the responder, </w:t>
      </w:r>
      <m:oMath>
        <m:r>
          <w:rPr>
            <w:rFonts w:ascii="Cambria Math" w:hAnsi="Cambria Math"/>
          </w:rPr>
          <m:t>r</m:t>
        </m:r>
        <m:r>
          <w:rPr>
            <w:rFonts w:ascii="Cambria Math" w:hAnsi="Cambria Math"/>
          </w:rPr>
          <m:t>&gt;0</m:t>
        </m:r>
      </m:oMath>
      <w:r>
        <w:t>. Figure 3 shows the distribution of offers made by both the investor and responder in a meta-analysis of 161 studies involv</w:t>
      </w:r>
      <w:r>
        <w:t>ing approximately 24,000 participants (Johnson and Mislin 2011).</w:t>
      </w:r>
    </w:p>
    <w:p w:rsidR="001F4DAE" w:rsidRDefault="00FA169C">
      <w:pPr>
        <w:pStyle w:val="BodyText"/>
        <w:jc w:val="both"/>
      </w:pPr>
      <w:r>
        <w:t>The meta-analysis found that the mean offer made by the investor across all studies is .502, around half of the initial endowment, while the mean amount returned by the responder is .372. Due</w:t>
      </w:r>
      <w:r>
        <w:t xml:space="preserve"> to aggregation of multiple experiments from multiple </w:t>
      </w:r>
      <w:r>
        <w:lastRenderedPageBreak/>
        <w:t>parts of the world the authors were able to study the differences in how people from around the world play the trust game. They find Africa sends and receives the lowest amount of all continents, with N</w:t>
      </w:r>
      <w:r>
        <w:t xml:space="preserve">orth America and Europe featuring the highest amounts both sent and received. They find further that older people send larger amounts, students send significantly lower amounts than non-students, and that amounts sent are larger if the subject believes he </w:t>
      </w:r>
      <w:r>
        <w:t>is playing with another human player.</w:t>
      </w:r>
      <w:r>
        <w:br/>
      </w:r>
    </w:p>
    <w:p w:rsidR="001F4DAE" w:rsidRDefault="00FA169C">
      <w:pPr>
        <w:pStyle w:val="ImageCaption"/>
        <w:jc w:val="center"/>
        <w:rPr>
          <w:i w:val="0"/>
        </w:rPr>
      </w:pPr>
      <w:r>
        <w:rPr>
          <w:i w:val="0"/>
        </w:rPr>
        <w:t>Figure 4: Distribution of percentages sent by investors (left) and responders (right).</w:t>
      </w:r>
    </w:p>
    <w:p w:rsidR="001F4DAE" w:rsidRDefault="00FA169C">
      <w:pPr>
        <w:pStyle w:val="FigurewithCaption"/>
        <w:jc w:val="both"/>
      </w:pPr>
      <w:r>
        <w:rPr>
          <w:noProof/>
        </w:rPr>
        <w:drawing>
          <wp:inline distT="0" distB="0" distL="0" distR="0">
            <wp:extent cx="5334000" cy="197231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5334000" cy="1972310"/>
                    </a:xfrm>
                    <a:prstGeom prst="rect">
                      <a:avLst/>
                    </a:prstGeom>
                  </pic:spPr>
                </pic:pic>
              </a:graphicData>
            </a:graphic>
          </wp:inline>
        </w:drawing>
      </w:r>
    </w:p>
    <w:p w:rsidR="001F4DAE" w:rsidRDefault="001F4DAE">
      <w:pPr>
        <w:pStyle w:val="ImageCaption"/>
        <w:jc w:val="both"/>
      </w:pPr>
    </w:p>
    <w:p w:rsidR="001F4DAE" w:rsidRDefault="00FA169C">
      <w:pPr>
        <w:pStyle w:val="BodyText"/>
        <w:jc w:val="center"/>
      </w:pPr>
      <w:r>
        <w:t xml:space="preserve">Source: Johnson and Mislin (2011) </w:t>
      </w:r>
    </w:p>
    <w:p w:rsidR="001F4DAE" w:rsidRDefault="00FA169C">
      <w:pPr>
        <w:pStyle w:val="Heading1"/>
        <w:jc w:val="both"/>
      </w:pPr>
      <w:bookmarkStart w:id="9" w:name="on-the-validity-of-using-experiments-in-"/>
      <w:bookmarkEnd w:id="9"/>
      <w:r>
        <w:t>On the Validity of Using Experiments in Economics</w:t>
      </w:r>
    </w:p>
    <w:p w:rsidR="001F4DAE" w:rsidRDefault="00FA169C">
      <w:pPr>
        <w:pStyle w:val="BlockText"/>
        <w:jc w:val="both"/>
      </w:pPr>
      <w:r>
        <w:t>Samuelson and Nordhaus (1985) “One possibl</w:t>
      </w:r>
      <w:r>
        <w:t>e way of figuring out economic laws ... is by controlled experiments... Economists [unfortunately]... cannot perform the controlled experiments of chemists or biologists because they cannot easily control other important factors. Like astronomers or meteor</w:t>
      </w:r>
      <w:r>
        <w:t>ologists, they generally must be content largely to observe”</w:t>
      </w:r>
    </w:p>
    <w:p w:rsidR="001F4DAE" w:rsidRDefault="00FA169C">
      <w:pPr>
        <w:pStyle w:val="FirstParagraph"/>
        <w:jc w:val="both"/>
      </w:pPr>
      <w:r>
        <w:lastRenderedPageBreak/>
        <w:t xml:space="preserve">Laboratory experiments are a widely used tool in the physical and life sciences. In contrast, the social sciences have traditionally been considered nonexperimental, that is, the data upon which </w:t>
      </w:r>
      <w:r>
        <w:t>social scientists base their theories are collected not through experimentation, but observation. This is due to the obvious constraints of this class of scientific disciplines (e.g. historians are not able to recreate in a lab the Napoleonic Wars). This i</w:t>
      </w:r>
      <w:r>
        <w:t>s not to say the social sciences have not or do not use laboratory experiments when it is feasible to do so. Psychology, for instance, has used laboratory experiments, or the experimental method more broadly, successfully for more than two centuries now (e</w:t>
      </w:r>
      <w:r>
        <w:t>.g. Ebbinghaus (1885)). In economics, however, the use of laboratory experiments is a recent development.</w:t>
      </w:r>
    </w:p>
    <w:p w:rsidR="001F4DAE" w:rsidRDefault="00FA169C">
      <w:pPr>
        <w:pStyle w:val="BodyText"/>
        <w:jc w:val="both"/>
      </w:pPr>
      <w:r>
        <w:t xml:space="preserve">Although there was some proto-experimental work done in the 1930s on the topic of consumer demand theory (Moscati 2007), it is generally agreed that, </w:t>
      </w:r>
      <w:r>
        <w:t xml:space="preserve">as an institutional and intellectual programme, experimental economics took form in the late 1940s following the publication of John von Neumann and Oskar Morgenstern seminal </w:t>
      </w:r>
      <w:r>
        <w:rPr>
          <w:i/>
        </w:rPr>
        <w:t>Theory of Games and Economic Behavior</w:t>
      </w:r>
      <w:r>
        <w:t xml:space="preserve"> in 1944 (Guala 2008). Since then, the growt</w:t>
      </w:r>
      <w:r>
        <w:t>h of published papers using laboratory experiments has been remarkable.</w:t>
      </w:r>
    </w:p>
    <w:p w:rsidR="001F4DAE" w:rsidRDefault="00FA169C">
      <w:pPr>
        <w:pStyle w:val="BodyText"/>
        <w:jc w:val="both"/>
      </w:pPr>
      <w:r>
        <w:t xml:space="preserve">In three of the most prestigious economics journals — </w:t>
      </w:r>
      <w:r>
        <w:rPr>
          <w:i/>
        </w:rPr>
        <w:t>American Economic Review, Econometrica</w:t>
      </w:r>
      <w:r>
        <w:t xml:space="preserve">, and </w:t>
      </w:r>
      <w:r>
        <w:rPr>
          <w:i/>
        </w:rPr>
        <w:t>Quarterly Journal of Economics</w:t>
      </w:r>
      <w:r>
        <w:t xml:space="preserve"> — the fraction of experimental papers published in prop</w:t>
      </w:r>
      <w:r>
        <w:t xml:space="preserve">ortion to all published papers was between </w:t>
      </w:r>
      <m:oMath>
        <m:r>
          <w:rPr>
            <w:rFonts w:ascii="Cambria Math" w:hAnsi="Cambria Math"/>
          </w:rPr>
          <m:t>0.84</m:t>
        </m:r>
      </m:oMath>
      <w:r>
        <w:t xml:space="preserve"> and </w:t>
      </w:r>
      <m:oMath>
        <m:r>
          <w:rPr>
            <w:rFonts w:ascii="Cambria Math" w:hAnsi="Cambria Math"/>
          </w:rPr>
          <m:t>1.58</m:t>
        </m:r>
      </m:oMath>
      <w:r>
        <w:t xml:space="preserve"> in the 1980s, jumping to </w:t>
      </w:r>
      <m:oMath>
        <m:r>
          <w:rPr>
            <w:rFonts w:ascii="Cambria Math" w:hAnsi="Cambria Math"/>
          </w:rPr>
          <m:t>3.8</m:t>
        </m:r>
      </m:oMath>
      <w:r>
        <w:t xml:space="preserve"> and </w:t>
      </w:r>
      <m:oMath>
        <m:r>
          <w:rPr>
            <w:rFonts w:ascii="Cambria Math" w:hAnsi="Cambria Math"/>
          </w:rPr>
          <m:t>4.15</m:t>
        </m:r>
      </m:oMath>
      <w:r>
        <w:t xml:space="preserve"> between 2000 and 2008 (Falk and Heckman 2009). The first specialty journal, aptly named </w:t>
      </w:r>
      <w:r>
        <w:rPr>
          <w:i/>
        </w:rPr>
        <w:t>Experimental Economics</w:t>
      </w:r>
      <w:r>
        <w:t xml:space="preserve">, was founded in 1998. Moreover, </w:t>
      </w:r>
      <m:oMath>
        <m:r>
          <w:rPr>
            <w:rFonts w:ascii="Cambria Math" w:hAnsi="Cambria Math"/>
          </w:rPr>
          <m:t>6</m:t>
        </m:r>
      </m:oMath>
      <w:r>
        <w:t xml:space="preserve"> of the Nobel eco</w:t>
      </w:r>
      <w:r>
        <w:t xml:space="preserve">nomics prizes awarded since 1969 </w:t>
      </w:r>
      <w:r>
        <w:lastRenderedPageBreak/>
        <w:t>have been to economists who can be described as working in experimental economics, including heavyweights such as Elinor Ostrom, Daniel Kahneman, and, more recently, Richard Thaler. The rise in prominence of experimental ec</w:t>
      </w:r>
      <w:r>
        <w:t>onomics has been such that, despite the above quote from Samuelson and Nordhaus, in the 1992 revision of their famous textbook they saw the need to further add that experimental economics is “an exciting new development”(Samuelson and Nordhaus 1992, 5).</w:t>
      </w:r>
    </w:p>
    <w:p w:rsidR="001F4DAE" w:rsidRDefault="00FA169C">
      <w:pPr>
        <w:pStyle w:val="BodyText"/>
        <w:jc w:val="both"/>
      </w:pPr>
      <w:r>
        <w:t>Th</w:t>
      </w:r>
      <w:r>
        <w:t>ere is however an elephant in the room. Despite the evident growth in the use of laboratory experiments in Economics, there have been challenges regarding whether the results coming out from these experiments allow researchers to say anything about economi</w:t>
      </w:r>
      <w:r>
        <w:t>c behavior outside the lab. The issue of external validity, the ability of experiments to provide findings that are likely to allow for reliable inferences outside the laboratory, is a pernicious problem for the social sciences that does not exist to the s</w:t>
      </w:r>
      <w:r>
        <w:t>ame extent in the physical sciences.</w:t>
      </w:r>
    </w:p>
    <w:p w:rsidR="001F4DAE" w:rsidRDefault="00FA169C">
      <w:pPr>
        <w:pStyle w:val="BodyText"/>
        <w:jc w:val="both"/>
      </w:pPr>
      <w:r>
        <w:t>By way of illumination, a Physics student performing a careful experiment to determine the value for Earth’s gravity need not concern himself as to whether his results will generalize to outside the lab. The same is not</w:t>
      </w:r>
      <w:r>
        <w:t xml:space="preserve"> necessarily true in the social sciences, in general, and for most of the experiments we have surveyed above, in particular. While it does seem that subjects offer around 20% of their endowment in the dictator game, we do not regularly see strangers in the</w:t>
      </w:r>
      <w:r>
        <w:t xml:space="preserve"> streets spontaneously offering a fifth of the contents in their wallets to strangers passing by.</w:t>
      </w:r>
    </w:p>
    <w:p w:rsidR="001F4DAE" w:rsidRDefault="001F4DAE">
      <w:pPr>
        <w:pStyle w:val="BodyText"/>
        <w:jc w:val="both"/>
      </w:pPr>
    </w:p>
    <w:p w:rsidR="001F4DAE" w:rsidRDefault="001F4DAE">
      <w:pPr>
        <w:pStyle w:val="BodyText"/>
        <w:jc w:val="both"/>
      </w:pPr>
    </w:p>
    <w:p w:rsidR="001F4DAE" w:rsidRDefault="001F4DAE">
      <w:pPr>
        <w:pStyle w:val="BodyText"/>
        <w:jc w:val="both"/>
      </w:pPr>
    </w:p>
    <w:p w:rsidR="001F4DAE" w:rsidRDefault="001F4DAE">
      <w:pPr>
        <w:pStyle w:val="BodyText"/>
        <w:jc w:val="both"/>
      </w:pPr>
    </w:p>
    <w:p w:rsidR="001F4DAE" w:rsidRDefault="001F4DAE">
      <w:pPr>
        <w:pStyle w:val="BodyText"/>
        <w:jc w:val="both"/>
      </w:pPr>
    </w:p>
    <w:p w:rsidR="001F4DAE" w:rsidRDefault="001F4DAE">
      <w:pPr>
        <w:pStyle w:val="BodyText"/>
        <w:jc w:val="both"/>
      </w:pPr>
    </w:p>
    <w:p w:rsidR="001F4DAE" w:rsidRDefault="00FA169C">
      <w:pPr>
        <w:pStyle w:val="ImageCaption"/>
        <w:jc w:val="center"/>
        <w:rPr>
          <w:i w:val="0"/>
        </w:rPr>
      </w:pPr>
      <w:r>
        <w:rPr>
          <w:i w:val="0"/>
        </w:rPr>
        <w:t>Figure 5: Methodology of articles in top economics journals, as percent of total.</w:t>
      </w:r>
    </w:p>
    <w:p w:rsidR="001F4DAE" w:rsidRDefault="00FA169C">
      <w:pPr>
        <w:pStyle w:val="FigurewithCaption"/>
        <w:jc w:val="both"/>
      </w:pPr>
      <w:r>
        <w:rPr>
          <w:noProof/>
        </w:rPr>
        <w:drawing>
          <wp:inline distT="0" distB="0" distL="0" distR="0">
            <wp:extent cx="5334000" cy="3810000"/>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5334000" cy="3810000"/>
                    </a:xfrm>
                    <a:prstGeom prst="rect">
                      <a:avLst/>
                    </a:prstGeom>
                  </pic:spPr>
                </pic:pic>
              </a:graphicData>
            </a:graphic>
          </wp:inline>
        </w:drawing>
      </w:r>
    </w:p>
    <w:p w:rsidR="001F4DAE" w:rsidRDefault="00FA169C">
      <w:pPr>
        <w:pStyle w:val="ImageCaption"/>
        <w:jc w:val="center"/>
        <w:rPr>
          <w:i w:val="0"/>
        </w:rPr>
      </w:pPr>
      <w:r>
        <w:rPr>
          <w:i w:val="0"/>
        </w:rPr>
        <w:t xml:space="preserve"> Source: (Mearsheimer and Walt 2013)</w:t>
      </w:r>
    </w:p>
    <w:p w:rsidR="001F4DAE" w:rsidRDefault="00FA169C">
      <w:pPr>
        <w:pStyle w:val="BodyText"/>
        <w:jc w:val="both"/>
      </w:pPr>
      <w:r>
        <w:t xml:space="preserve">If we are to use the extensive </w:t>
      </w:r>
      <w:r>
        <w:t>evidence surveyed previously to argue for the existence of other-regarding preferences we must first establish that it offers us reliable evidence that extends beyond the artificial conditions of the laboratory. Indeed, it is this artificiality that, while</w:t>
      </w:r>
      <w:r>
        <w:t xml:space="preserve"> imbuing laboratory experiments with their </w:t>
      </w:r>
      <w:r>
        <w:lastRenderedPageBreak/>
        <w:t>unique methodological strength, also gives it the weakness that has been an influential source of skepticism about their use as a tool in the economist’s toolbag.</w:t>
      </w:r>
    </w:p>
    <w:p w:rsidR="001F4DAE" w:rsidRDefault="00FA169C">
      <w:pPr>
        <w:pStyle w:val="BodyText"/>
        <w:jc w:val="both"/>
      </w:pPr>
      <w:r>
        <w:t>Laboratory experiments are often contrasted with f</w:t>
      </w:r>
      <w:r>
        <w:t>ield experiments. In the debate between the two, field experiments are often touted as possessing more ’realistic’ conditions, even if they are perhaps less tightly controlled.</w:t>
      </w:r>
    </w:p>
    <w:p w:rsidR="001F4DAE" w:rsidRDefault="00FA169C">
      <w:pPr>
        <w:pStyle w:val="BodyText"/>
        <w:jc w:val="both"/>
      </w:pPr>
      <w:r>
        <w:t xml:space="preserve">List (2006) provides an interesting example of this idea. In his paper, a gift </w:t>
      </w:r>
      <w:r>
        <w:t xml:space="preserve">exchange game is played where buyers make price offers to sellers and, in return, sellers select the quality of the good they will exchange with the buyer. The experiment was run in a standard laboratory setting and used experienced sports-card traders as </w:t>
      </w:r>
      <w:r>
        <w:t>subjects. The results mirrored the typical findings for this type of game: in the presence of higher offered prices, sellers tended to offer higher quality goods in return, even though they were not obligated to do so by the rules of the experiment. Thus t</w:t>
      </w:r>
      <w:r>
        <w:t>his laboratory experiment points toward the existence of other-regarding preferences in the gift exchange game.</w:t>
      </w:r>
    </w:p>
    <w:p w:rsidR="001F4DAE" w:rsidRDefault="00FA169C">
      <w:pPr>
        <w:pStyle w:val="BodyText"/>
        <w:jc w:val="both"/>
      </w:pPr>
      <w:r>
        <w:t>The experiment was then carried out by making a single change in which the goods exchanged where actual baseball cards whose market value was in</w:t>
      </w:r>
      <w:r>
        <w:t>fluenced by differences in their physical condition that experienced card sellers are more likely to detect than unexperienced sellers. In this experiment, other-regarding preferences were also observed. Higher quality cards were offered to buyers who offe</w:t>
      </w:r>
      <w:r>
        <w:t>red higher prices.</w:t>
      </w:r>
    </w:p>
    <w:p w:rsidR="001F4DAE" w:rsidRDefault="00FA169C">
      <w:pPr>
        <w:pStyle w:val="BodyText"/>
        <w:jc w:val="both"/>
      </w:pPr>
      <w:r>
        <w:t xml:space="preserve">The two experiments are therefore concordant in their conclusion of the existence of other-regarding preferences. However, List did not stop there. He wanted to </w:t>
      </w:r>
      <w:r>
        <w:lastRenderedPageBreak/>
        <w:t xml:space="preserve">know whether his results would also be observed in the card sellers natural </w:t>
      </w:r>
      <w:r>
        <w:t>environment, a sports-card show. Dealers in this field study were unaware that their behavior was being observed and studied. Confederates were instructed to approach sellers and offer different prices in return for sports-cards of varying quality, mirrori</w:t>
      </w:r>
      <w:r>
        <w:t>ng the methodology of the previous experiments.</w:t>
      </w:r>
    </w:p>
    <w:p w:rsidR="001F4DAE" w:rsidRDefault="00FA169C">
      <w:pPr>
        <w:pStyle w:val="BodyText"/>
        <w:jc w:val="both"/>
      </w:pPr>
      <w:r>
        <w:t>In this field study, where the dealers did not believe that the consumers could grade the cards appropriately or there was little possibility of future interaction, little statistical relationship between pri</w:t>
      </w:r>
      <w:r>
        <w:t>ce and quality was observed. Only when there was concern for one’s reputational standing, when sellers expected future interactions to happen or buyers could verify the quality of the cards by using a third-party, was high offered price met with high quali</w:t>
      </w:r>
      <w:r>
        <w:t>ty offered. Thus, the other-regarding preferences routinely observed in the lab were attenuated or not observed in the field condition.</w:t>
      </w:r>
      <w:r>
        <w:rPr>
          <w:rStyle w:val="FootnoteAnchor"/>
        </w:rPr>
        <w:footnoteReference w:id="3"/>
      </w:r>
    </w:p>
    <w:p w:rsidR="001F4DAE" w:rsidRDefault="00FA169C">
      <w:pPr>
        <w:pStyle w:val="BodyText"/>
        <w:jc w:val="both"/>
      </w:pPr>
      <w:r>
        <w:t>The dichotomy of results between the laboratory and field conditions should certainly make us pause before claiming wit</w:t>
      </w:r>
      <w:r>
        <w:t>h certainty that other-regarding preferences matter in an economic context. It is tempting to think that field experiments reflect a more realistic condition and should thus be held in higher regard when making inferences about the inexistence of other-reg</w:t>
      </w:r>
      <w:r>
        <w:t xml:space="preserve">arding preferences. Thus, that card dealers do not seem to match quality with price in a sports-card show seems to suggest that we should not change our priors with </w:t>
      </w:r>
      <w:r>
        <w:lastRenderedPageBreak/>
        <w:t xml:space="preserve">regards to the existence of other-regarding preferences. It is however worth thinking more </w:t>
      </w:r>
      <w:r>
        <w:t>deeply about this notion that field studies offer us a more realistic picture than laboratory experiments.</w:t>
      </w:r>
    </w:p>
    <w:p w:rsidR="001F4DAE" w:rsidRDefault="00FA169C">
      <w:pPr>
        <w:pStyle w:val="BodyText"/>
        <w:jc w:val="both"/>
      </w:pPr>
      <w:r>
        <w:t xml:space="preserve">Camerer (2011b) makes the helpful distinction between the </w:t>
      </w:r>
      <w:r>
        <w:rPr>
          <w:i/>
        </w:rPr>
        <w:t>policy view</w:t>
      </w:r>
      <w:r>
        <w:t xml:space="preserve"> and the </w:t>
      </w:r>
      <w:r>
        <w:rPr>
          <w:i/>
        </w:rPr>
        <w:t>scientific view</w:t>
      </w:r>
      <w:r>
        <w:t>. In the policy view, the generalizability of experiment</w:t>
      </w:r>
      <w:r>
        <w:t xml:space="preserve">al findings to the outside world, that is, their </w:t>
      </w:r>
      <w:r>
        <w:rPr>
          <w:i/>
        </w:rPr>
        <w:t>external validity</w:t>
      </w:r>
      <w:r>
        <w:t>, is of paramount importance. This is because in choosing what policy to apply, evidence that has been collected in the same domain as the policy has obvious advantages in the inferences one</w:t>
      </w:r>
      <w:r>
        <w:t xml:space="preserve"> can draw from it with respect to the effects of policy in question. Field experiments should be given more weight in this view than laboratory experiments do. For the scientific view, however, both laboratory and field studies constitute ways to enhance o</w:t>
      </w:r>
      <w:r>
        <w:t>ur understanding of human behavior and should therefore hold equal weight in the inference process. Provided the evidence was properly gathered and is valid and contextually relevant, there is no hierarchical relationship between the two methodologies. Bot</w:t>
      </w:r>
      <w:r>
        <w:t>h constitute tools to be used in the accumulation of knowledge. As Camerer puts it: “in this view, since the goal is to understand general principles, whether the ’lab generalizes to the field’ ... is distracting, difficult to know ..., and is no more usef</w:t>
      </w:r>
      <w:r>
        <w:t>ul than asking whether ’the field generalizes to the lab’.”</w:t>
      </w:r>
    </w:p>
    <w:p w:rsidR="001F4DAE" w:rsidRDefault="00FA169C">
      <w:pPr>
        <w:pStyle w:val="BodyText"/>
        <w:jc w:val="both"/>
      </w:pPr>
      <w:r>
        <w:t xml:space="preserve">To illustrate this point, consider the following formalization from Falk and Heckman (2009). Suppose a variable of interest </w:t>
      </w:r>
      <m:oMath>
        <m:r>
          <w:rPr>
            <w:rFonts w:ascii="Cambria Math" w:hAnsi="Cambria Math"/>
          </w:rPr>
          <m:t>Y</m:t>
        </m:r>
      </m:oMath>
      <w:r>
        <w:t xml:space="preserve"> can be fully explained by the variables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and that the fun</w:t>
      </w:r>
      <w:r>
        <w:t xml:space="preserve">ctional relationship between them is given by </w:t>
      </w: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known as the all-causes model. Suppose we are interested in </w:t>
      </w:r>
      <w:r>
        <w:lastRenderedPageBreak/>
        <w:t xml:space="preserve">examining the causal effect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on </w:t>
      </w:r>
      <m:oMath>
        <m:r>
          <w:rPr>
            <w:rFonts w:ascii="Cambria Math" w:hAnsi="Cambria Math"/>
          </w:rPr>
          <m:t>Y</m:t>
        </m:r>
      </m:oMath>
      <w:r>
        <w:t xml:space="preserve">, which requires us to hold all other variables </w:t>
      </w:r>
      <m:oMath>
        <m:acc>
          <m:accPr>
            <m:chr m:val="^"/>
            <m:ctrlPr>
              <w:rPr>
                <w:rFonts w:ascii="Cambria Math" w:hAnsi="Cambria Math"/>
              </w:rPr>
            </m:ctrlPr>
          </m:accPr>
          <m:e>
            <m:r>
              <w:rPr>
                <w:rFonts w:ascii="Cambria Math" w:hAnsi="Cambria Math"/>
              </w:rPr>
              <m:t>X</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fixed.</w:t>
      </w:r>
    </w:p>
    <w:p w:rsidR="001F4DAE" w:rsidRDefault="00FA169C">
      <w:pPr>
        <w:pStyle w:val="BodyText"/>
        <w:jc w:val="both"/>
      </w:pPr>
      <w:r>
        <w:t xml:space="preserve">In a laboratory experiment the researcher estimates a model of the form </w:t>
      </w: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L</m:t>
                </m:r>
              </m:sup>
            </m:sSup>
          </m:e>
        </m:d>
      </m:oMath>
      <w:r>
        <w:t xml:space="preserve"> where </w:t>
      </w:r>
      <m:oMath>
        <m:sSup>
          <m:sSupPr>
            <m:ctrlPr>
              <w:rPr>
                <w:rFonts w:ascii="Cambria Math" w:hAnsi="Cambria Math"/>
              </w:rPr>
            </m:ctrlPr>
          </m:sSupPr>
          <m:e>
            <m:r>
              <w:rPr>
                <w:rFonts w:ascii="Cambria Math" w:hAnsi="Cambria Math"/>
              </w:rPr>
              <m:t>X</m:t>
            </m:r>
          </m:e>
          <m:sup>
            <m:r>
              <w:rPr>
                <w:rFonts w:ascii="Cambria Math" w:hAnsi="Cambria Math"/>
              </w:rPr>
              <m:t>L</m:t>
            </m:r>
          </m:sup>
        </m:sSup>
        <m:r>
          <w:rPr>
            <w:rFonts w:ascii="Cambria Math" w:hAnsi="Cambria Math"/>
          </w:rPr>
          <m:t>≠</m:t>
        </m:r>
        <m:acc>
          <m:accPr>
            <m:chr m:val="^"/>
            <m:ctrlPr>
              <w:rPr>
                <w:rFonts w:ascii="Cambria Math" w:hAnsi="Cambria Math"/>
              </w:rPr>
            </m:ctrlPr>
          </m:accPr>
          <m:e>
            <m:r>
              <w:rPr>
                <w:rFonts w:ascii="Cambria Math" w:hAnsi="Cambria Math"/>
              </w:rPr>
              <m:t>X</m:t>
            </m:r>
          </m:e>
        </m:acc>
      </m:oMath>
      <w:r>
        <w:t xml:space="preserve">. Following the same logic, in a field experiment one estimates a model of the form </w:t>
      </w: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e>
        </m:d>
      </m:oMath>
      <w:r>
        <w:t xml:space="preserve"> where </w:t>
      </w:r>
      <m:oMath>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r>
          <w:rPr>
            <w:rFonts w:ascii="Cambria Math" w:hAnsi="Cambria Math"/>
          </w:rPr>
          <m:t>≠</m:t>
        </m:r>
        <m:acc>
          <m:accPr>
            <m:chr m:val="^"/>
            <m:ctrlPr>
              <w:rPr>
                <w:rFonts w:ascii="Cambria Math" w:hAnsi="Cambria Math"/>
              </w:rPr>
            </m:ctrlPr>
          </m:accPr>
          <m:e>
            <m:r>
              <w:rPr>
                <w:rFonts w:ascii="Cambria Math" w:hAnsi="Cambria Math"/>
              </w:rPr>
              <m:t>X</m:t>
            </m:r>
          </m:e>
        </m:acc>
      </m:oMath>
      <w:r>
        <w:t xml:space="preserve"> and typically </w:t>
      </w:r>
      <m:oMath>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L</m:t>
            </m:r>
          </m:sup>
        </m:sSup>
      </m:oMath>
      <w:r>
        <w:t>. The claim is usua</w:t>
      </w:r>
      <w:r>
        <w:t xml:space="preserve">lly made that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L</m:t>
                </m:r>
              </m:sup>
            </m:sSup>
          </m:e>
        </m:d>
      </m:oMath>
      <w:r>
        <w:t xml:space="preserve"> does not satisfy external validity but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e>
        </m:d>
      </m:oMath>
      <w:r>
        <w:t xml:space="preserve"> does.</w:t>
      </w:r>
    </w:p>
    <w:p w:rsidR="001F4DAE" w:rsidRDefault="00FA169C">
      <w:pPr>
        <w:pStyle w:val="BodyText"/>
        <w:jc w:val="both"/>
      </w:pPr>
      <w:r>
        <w:t xml:space="preserve">We can write the field study in List (2006) as </w:t>
      </w: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e>
        </m:d>
      </m:oMath>
      <w:r>
        <w:t xml:space="preserve"> where </w:t>
      </w:r>
      <m:oMath>
        <m:r>
          <w:rPr>
            <w:rFonts w:ascii="Cambria Math" w:hAnsi="Cambria Math"/>
          </w:rPr>
          <m:t>Y</m:t>
        </m:r>
      </m:oMath>
      <w:r>
        <w:t xml:space="preserve"> is the quality of the cards,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the price offered, and </w:t>
      </w:r>
      <m:oMath>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oMath>
      <w:r>
        <w:t xml:space="preserve"> are the remaining variables. Suppose w</w:t>
      </w:r>
      <w:r>
        <w:t xml:space="preserve">e were to repeat that same experiment using a different subject pool, possibly stamp collectors. This gives rise to yet another estimated relation </w:t>
      </w: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2</m:t>
                    </m:r>
                  </m:sub>
                </m:sSub>
              </m:sup>
            </m:sSup>
          </m:e>
        </m:d>
      </m:oMath>
      <w:r>
        <w:t xml:space="preserve"> where </w:t>
      </w:r>
      <m:oMath>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2</m:t>
                </m:r>
              </m:sub>
            </m:sSub>
          </m:sup>
        </m:sSup>
      </m:oMath>
      <w:r>
        <w:t xml:space="preserve"> reflects the set of variables and characteristics in this new experiment, includin</w:t>
      </w:r>
      <w:r>
        <w:t xml:space="preserve">g the new subject pool. How are we to adjudicate between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L</m:t>
                </m:r>
              </m:sup>
            </m:sSup>
          </m:e>
        </m:d>
      </m:oMath>
      <w:r>
        <w:t xml:space="preserve"> and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e>
        </m:d>
      </m:oMath>
      <w:r>
        <w:t xml:space="preserve"> if we want to predict the causal relationship between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r>
          <w:rPr>
            <w:rFonts w:ascii="Cambria Math" w:hAnsi="Cambria Math"/>
          </w:rPr>
          <m:t>Y</m:t>
        </m:r>
      </m:oMath>
      <w:r>
        <w:t xml:space="preserve"> in the new relation </w:t>
      </w:r>
      <m:oMath>
        <m:r>
          <w:rPr>
            <w:rFonts w:ascii="Cambria Math" w:hAnsi="Cambria Math"/>
          </w:rPr>
          <m:t>Y</m:t>
        </m:r>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2</m:t>
                    </m:r>
                  </m:sub>
                </m:sSub>
              </m:sup>
            </m:sSup>
          </m:e>
        </m:d>
      </m:oMath>
      <w:r>
        <w:t>?</w:t>
      </w:r>
    </w:p>
    <w:p w:rsidR="001F4DAE" w:rsidRDefault="00FA169C">
      <w:pPr>
        <w:pStyle w:val="BodyText"/>
        <w:jc w:val="both"/>
      </w:pPr>
      <w:r>
        <w:t>One might be tempted to reply that the field experiment should hold mor</w:t>
      </w:r>
      <w:r>
        <w:t>e weight than the laboratory experiment in this particular inference since the new situation also involves a field experiment. There is not, however, an explicit reason for why this should be so. While both situations are field experiments, there is no a p</w:t>
      </w:r>
      <w:r>
        <w:t xml:space="preserve">riori reason to expect the behavior from sports-card dealers to generalize toward that of stamp collectors. As Camerer (2011b) puts it (using different notation), “if the litmus test of ’external validity’ is accurate extrapolation to </w:t>
      </w:r>
      <m:oMath>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2</m:t>
                </m:r>
              </m:sub>
            </m:sSub>
          </m:sup>
        </m:sSup>
      </m:oMath>
      <w:r>
        <w:t xml:space="preserve">, is the lab </w:t>
      </w:r>
      <m:oMath>
        <m:sSup>
          <m:sSupPr>
            <m:ctrlPr>
              <w:rPr>
                <w:rFonts w:ascii="Cambria Math" w:hAnsi="Cambria Math"/>
              </w:rPr>
            </m:ctrlPr>
          </m:sSupPr>
          <m:e>
            <m:r>
              <w:rPr>
                <w:rFonts w:ascii="Cambria Math" w:hAnsi="Cambria Math"/>
              </w:rPr>
              <m:t>X</m:t>
            </m:r>
          </m:e>
          <m:sup>
            <m:r>
              <w:rPr>
                <w:rFonts w:ascii="Cambria Math" w:hAnsi="Cambria Math"/>
              </w:rPr>
              <m:t>L</m:t>
            </m:r>
          </m:sup>
        </m:sSup>
      </m:oMath>
      <w:r>
        <w:t xml:space="preserve"> </w:t>
      </w:r>
      <w:r>
        <w:lastRenderedPageBreak/>
        <w:t xml:space="preserve">necessarily less externally valid than the field setting </w:t>
      </w:r>
      <m:oMath>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F</m:t>
                </m:r>
              </m:e>
              <m:sub>
                <m:r>
                  <w:rPr>
                    <w:rFonts w:ascii="Cambria Math" w:hAnsi="Cambria Math"/>
                  </w:rPr>
                  <m:t>1</m:t>
                </m:r>
              </m:sub>
            </m:sSub>
          </m:sup>
        </m:sSup>
      </m:oMath>
      <w:r>
        <w:t>? How should this even be judged?”</w:t>
      </w:r>
    </w:p>
    <w:p w:rsidR="001F4DAE" w:rsidRDefault="00FA169C">
      <w:pPr>
        <w:pStyle w:val="BodyText"/>
        <w:jc w:val="both"/>
      </w:pPr>
      <w:r>
        <w:t xml:space="preserve">It is best then, under the scientific view, to treat laboratory and field data as complementary. Both have their strengths, and the usefulness of one versus </w:t>
      </w:r>
      <w:r>
        <w:t>the other is ultimately a matter of the underlying research question. Laboratory experiments, due to their tight control, are more prone to be replicable whereas in field experiments replicability can be challenging and is more often than not impossible. T</w:t>
      </w:r>
      <w:r>
        <w:t>he smaller cost of laboratory experiments, as well as the easiness of archiving and reproducing instructions, software, recruiting protocols, databases, and statistical tools, also make laboratory experiments easier to replicate.</w:t>
      </w:r>
    </w:p>
    <w:p w:rsidR="001F4DAE" w:rsidRDefault="00FA169C">
      <w:pPr>
        <w:pStyle w:val="BodyText"/>
        <w:jc w:val="both"/>
      </w:pPr>
      <w:r>
        <w:t xml:space="preserve">The two methods differ in </w:t>
      </w:r>
      <w:r>
        <w:t xml:space="preserve">what variables </w:t>
      </w:r>
      <m:oMath>
        <m:acc>
          <m:accPr>
            <m:chr m:val="^"/>
            <m:ctrlPr>
              <w:rPr>
                <w:rFonts w:ascii="Cambria Math" w:hAnsi="Cambria Math"/>
              </w:rPr>
            </m:ctrlPr>
          </m:accPr>
          <m:e>
            <m:r>
              <w:rPr>
                <w:rFonts w:ascii="Cambria Math" w:hAnsi="Cambria Math"/>
              </w:rPr>
              <m:t>X</m:t>
            </m:r>
          </m:e>
        </m:acc>
      </m:oMath>
      <w:r>
        <w:t xml:space="preserve"> they are able to provide a larger variation for. Laboratory experiments can explore the parameter space for values that can be hard or rare to find in the field. For example, in Andersen et al. (2011) the authors raise the stakes in the u</w:t>
      </w:r>
      <w:r>
        <w:t>ltimatum game by a factor of 1,000 such that the highest stakes in play equal 16,000 hours of work, an amount that would be nigh impossible to find in the field. Field experiments do a better job at collecting evidence for different subject pools with diff</w:t>
      </w:r>
      <w:r>
        <w:t>erent demographics and social characteristics, as we saw in the multidisciplinary work of Henrich et al. (2005) who employed the ultimatum, dictator, and public goods game in 15 small-scale societies.</w:t>
      </w:r>
    </w:p>
    <w:p w:rsidR="001F4DAE" w:rsidRDefault="00FA169C">
      <w:pPr>
        <w:pStyle w:val="BodyText"/>
        <w:jc w:val="both"/>
      </w:pPr>
      <w:r>
        <w:t>Having argued for the usefulness of laboratory experime</w:t>
      </w:r>
      <w:r>
        <w:t xml:space="preserve">nts, there still remain some concerns that need be addressed before we can be safe in using the experimental evidence to argue for the existence of other-regarding preferences. While we have </w:t>
      </w:r>
      <w:r>
        <w:lastRenderedPageBreak/>
        <w:t xml:space="preserve">seen that there is no a priori reason for laboratory experiments </w:t>
      </w:r>
      <w:r>
        <w:t xml:space="preserve">to not be used in the making of inferences about economic behavior in lieu of field experiments, this is only so if laboratory experiments are a valid tool for the study of this particular subject. That is, while by themselves laboratory experiments are a </w:t>
      </w:r>
      <w:r>
        <w:t xml:space="preserve">valid tool in the economist’s toolbox, there might be flaws in the experimental process that invalid the use of the results gathered to infer the existence of other-regarding preferences. A powerful critique of the experimental method is offered in Levitt </w:t>
      </w:r>
      <w:r>
        <w:t>and List (2007) where the authors raise legitimate concerns that put into question the external validity of the observed results.</w:t>
      </w:r>
    </w:p>
    <w:p w:rsidR="001F4DAE" w:rsidRDefault="00FA169C">
      <w:pPr>
        <w:pStyle w:val="BodyText"/>
        <w:jc w:val="both"/>
      </w:pPr>
      <w:r>
        <w:t>By the order in which these objections will be tackled, they are:</w:t>
      </w:r>
    </w:p>
    <w:p w:rsidR="001F4DAE" w:rsidRDefault="00FA169C">
      <w:pPr>
        <w:numPr>
          <w:ilvl w:val="0"/>
          <w:numId w:val="2"/>
        </w:numPr>
        <w:jc w:val="both"/>
      </w:pPr>
      <w:r>
        <w:t>There is unprecedented experimental scrutiny in laboratory e</w:t>
      </w:r>
      <w:r>
        <w:t xml:space="preserve">xperiments. This may give rise to </w:t>
      </w:r>
      <w:r>
        <w:rPr>
          <w:i/>
        </w:rPr>
        <w:t>experimenter demand effects</w:t>
      </w:r>
      <w:r>
        <w:t xml:space="preserve"> where subjects, perceiving that they are being observed by the experimenter, may behave in ways that they believe the experimenters desire, or may also behave in ways that end up not revealing t</w:t>
      </w:r>
      <w:r>
        <w:t>heir true preferences, e.g., being observed may lead to more prosocial behavior than the subject actually desires.</w:t>
      </w:r>
    </w:p>
    <w:p w:rsidR="001F4DAE" w:rsidRDefault="00FA169C">
      <w:pPr>
        <w:numPr>
          <w:ilvl w:val="0"/>
          <w:numId w:val="2"/>
        </w:numPr>
        <w:jc w:val="both"/>
      </w:pPr>
      <w:r>
        <w:t>Human behavior is context-dependent and it is not clear that experiments can either capture or control this.</w:t>
      </w:r>
    </w:p>
    <w:p w:rsidR="001F4DAE" w:rsidRDefault="00FA169C">
      <w:pPr>
        <w:numPr>
          <w:ilvl w:val="0"/>
          <w:numId w:val="2"/>
        </w:numPr>
        <w:jc w:val="both"/>
      </w:pPr>
      <w:r>
        <w:t>There is the possibility of self</w:t>
      </w:r>
      <w:r>
        <w:t>-selection bias where experiments might be being run with an homogeneous sample of students who might be more prosocial, more educated, and have a higher need for approval than the average human population.</w:t>
      </w:r>
    </w:p>
    <w:p w:rsidR="001F4DAE" w:rsidRDefault="00FA169C">
      <w:pPr>
        <w:pStyle w:val="FirstParagraph"/>
        <w:jc w:val="both"/>
      </w:pPr>
      <w:r>
        <w:t xml:space="preserve">Levitt and List additionally question the common </w:t>
      </w:r>
      <w:r>
        <w:t xml:space="preserve">use of small stakes in laboratory experiments arguing that it might not capture the richness of human behavior. We choose not to deal with this objection because the previous section already dealt with the effects of varying stake size in the experiments. </w:t>
      </w:r>
      <w:r>
        <w:t xml:space="preserve">Indeed, the issue of stake size has long been a topic of interest in behavioral economics (Camerer et al. 1999) </w:t>
      </w:r>
      <w:r>
        <w:lastRenderedPageBreak/>
        <w:t>and is no longer a novel nor potent objection.</w:t>
      </w:r>
      <w:r>
        <w:rPr>
          <w:rStyle w:val="FootnoteAnchor"/>
        </w:rPr>
        <w:footnoteReference w:id="4"/>
      </w:r>
      <w:r>
        <w:br/>
      </w:r>
    </w:p>
    <w:p w:rsidR="001F4DAE" w:rsidRDefault="00FA169C">
      <w:pPr>
        <w:pStyle w:val="FirstParagraph"/>
        <w:jc w:val="both"/>
      </w:pPr>
      <w:r>
        <w:rPr>
          <w:b/>
        </w:rPr>
        <w:t>Experimenter demand and audience effects</w:t>
      </w:r>
    </w:p>
    <w:p w:rsidR="001F4DAE" w:rsidRDefault="00FA169C">
      <w:pPr>
        <w:pStyle w:val="FirstParagraph"/>
        <w:jc w:val="both"/>
      </w:pPr>
      <w:r>
        <w:br/>
        <w:t>Subjects in laboratory experiments know that their be</w:t>
      </w:r>
      <w:r>
        <w:t>havior is being recorded and will be under intense scrutiny. This intense obtrusiveness might lead to subjects matching their behavior with what they perceive to be the experimenter’s desired behavior (</w:t>
      </w:r>
      <w:r>
        <w:rPr>
          <w:i/>
        </w:rPr>
        <w:t>experimenter demand effect</w:t>
      </w:r>
      <w:r>
        <w:t>), or may lead subjects to b</w:t>
      </w:r>
      <w:r>
        <w:t>ehave in more prosocial ways because they believe that self-regarding behavior may be frowned upon by the experimenter (</w:t>
      </w:r>
      <w:r>
        <w:rPr>
          <w:i/>
        </w:rPr>
        <w:t>audience effect</w:t>
      </w:r>
      <w:r>
        <w:t>).</w:t>
      </w:r>
    </w:p>
    <w:p w:rsidR="001F4DAE" w:rsidRDefault="00FA169C">
      <w:pPr>
        <w:pStyle w:val="BodyText"/>
        <w:jc w:val="both"/>
      </w:pPr>
      <w:r>
        <w:t>Let us assume for a moment that subjects hold an accurate view of what the experimenters expect and favor a particular</w:t>
      </w:r>
      <w:r>
        <w:t xml:space="preserve"> outcome, which is not obvious and is something that experimenters are aware of when designing experimental procedures and thus work to circumvent. For there to be a demand effect it is necessary that the subject be willing to sacrifice his earnings by beh</w:t>
      </w:r>
      <w:r>
        <w:t>aving in the way that the experimenter desires. Even if the subject is willing to do so, that willingness is but a component of his overall preference bundle, meaning that it should be possible to devise a situation that stresses his initial desire and mak</w:t>
      </w:r>
      <w:r>
        <w:t xml:space="preserve">es him more reluctant to sacrifice his earnings. That increasing the stakes involved in the </w:t>
      </w:r>
      <w:r>
        <w:lastRenderedPageBreak/>
        <w:t>experiments typically has little effect suggests that demand effects are not a strong concern.</w:t>
      </w:r>
    </w:p>
    <w:p w:rsidR="001F4DAE" w:rsidRDefault="00FA169C">
      <w:pPr>
        <w:pStyle w:val="BodyText"/>
        <w:jc w:val="both"/>
      </w:pPr>
      <w:r>
        <w:t>This still leaves us with the possibility that the intense experiment</w:t>
      </w:r>
      <w:r>
        <w:t>al scrutiny leads to subjects behaving more prosocially. Barmettler, Fehr, and Zehnder (2012) employ a novel experimental procedure that allows the manipulation of experimenter-subject anonymity and employ it in three experimental games: the ultimatum, the</w:t>
      </w:r>
      <w:r>
        <w:t xml:space="preserve"> dictator, and the trust game. In none of these, for any player in any role, is there a statistical significant difference in the choices made between the treatment condition where anonymity between subject and experimenter is maintained and the one where </w:t>
      </w:r>
      <w:r>
        <w:t>it isn’t.</w:t>
      </w:r>
    </w:p>
    <w:p w:rsidR="001F4DAE" w:rsidRDefault="00FA169C">
      <w:pPr>
        <w:pStyle w:val="BodyText"/>
        <w:jc w:val="both"/>
      </w:pPr>
      <w:r>
        <w:t>Experimenter demand and audience effects do not seem to be strong objections against the experimental evidence. Indeed, if experimental scrutiny made such a noticeable effect on the emergence of other-regarding preferences that would itself be ev</w:t>
      </w:r>
      <w:r>
        <w:t>idence for the existence of other-regarding preferences for we are regularly being directly observed in many of our real-world interactions. More distopically, if scrutiny was a powerful enough force to flip a person’s switch towards behaving more prosocia</w:t>
      </w:r>
      <w:r>
        <w:t>lly, it is likely we would be seeing intense institutional efforts to promote that scrutiny.</w:t>
      </w:r>
      <w:r>
        <w:br/>
      </w:r>
    </w:p>
    <w:p w:rsidR="001F4DAE" w:rsidRDefault="00FA169C">
      <w:pPr>
        <w:pStyle w:val="BodyText"/>
        <w:jc w:val="both"/>
      </w:pPr>
      <w:r>
        <w:rPr>
          <w:b/>
        </w:rPr>
        <w:t>Context dependence</w:t>
      </w:r>
    </w:p>
    <w:p w:rsidR="001F4DAE" w:rsidRDefault="00FA169C">
      <w:pPr>
        <w:pStyle w:val="BodyText"/>
        <w:jc w:val="both"/>
      </w:pPr>
      <w:r>
        <w:t xml:space="preserve">Human behavior is embedded in a rich, complex, and tangled web of social norms, frames, and the lessons learned from past experience. Levitt </w:t>
      </w:r>
      <w:r>
        <w:t xml:space="preserve">and List argue that </w:t>
      </w:r>
      <w:r>
        <w:lastRenderedPageBreak/>
        <w:t>different experimental procedures, such as writing the instructions the subjects read in different ways, may lead to differing results. Defection rates in the prisoner dilemma game vary depending on whether subjects are playing a “Commu</w:t>
      </w:r>
      <w:r>
        <w:t>nity” or “Wall Street” game (Ward 1997), framing the allocation of funds in a public goods game as a “contribution” or “allocation” matters, as does whether the game is framed as a positive externality or a negative one (Andreoni 1995).</w:t>
      </w:r>
    </w:p>
    <w:p w:rsidR="001F4DAE" w:rsidRDefault="00FA169C">
      <w:pPr>
        <w:pStyle w:val="BodyText"/>
        <w:jc w:val="both"/>
      </w:pPr>
      <w:r>
        <w:t>However, even thoug</w:t>
      </w:r>
      <w:r>
        <w:t>h Levitt and List make a persuasive case for the importance of the context, they also argue that this context is “is not completely controlled by the experimenter.” This collides with their previous argument because if it is possible to elicit different re</w:t>
      </w:r>
      <w:r>
        <w:t>sults by varying some of the experiment’s parameters then it follows that it is also possible to control and account for that context. Indeed, that variation is highly desirable in the scientific view since it allows for the accumulation of knowledge about</w:t>
      </w:r>
      <w:r>
        <w:t xml:space="preserve"> the boundary conditions of human behavior. Thus the very idea that experimental context might influence the results is an argument for more experiments to be run.</w:t>
      </w:r>
    </w:p>
    <w:p w:rsidR="001F4DAE" w:rsidRDefault="00FA169C">
      <w:pPr>
        <w:pStyle w:val="BodyText"/>
        <w:jc w:val="both"/>
      </w:pPr>
      <w:r>
        <w:t>Moreover, to the extent that there is a subset of context that is not liable of being captur</w:t>
      </w:r>
      <w:r>
        <w:t>ed by any methodological variation, then it is also unlikely that uncaptured context is possible to control for in a field experiment. The problem of uncontrolled variables that cannot be measured and controlled for is not a problem of laboratory experimen</w:t>
      </w:r>
      <w:r>
        <w:t>ts per se, for field studies also run into it, but is instead a problem that every empiricist must wrestle and contend with.</w:t>
      </w:r>
      <w:r>
        <w:br/>
      </w:r>
    </w:p>
    <w:p w:rsidR="001F4DAE" w:rsidRDefault="00FA169C">
      <w:pPr>
        <w:pStyle w:val="BodyText"/>
        <w:jc w:val="both"/>
      </w:pPr>
      <w:r>
        <w:rPr>
          <w:b/>
        </w:rPr>
        <w:lastRenderedPageBreak/>
        <w:t>Self-selection bias</w:t>
      </w:r>
    </w:p>
    <w:p w:rsidR="001F4DAE" w:rsidRDefault="00FA169C">
      <w:pPr>
        <w:pStyle w:val="BodyText"/>
        <w:jc w:val="both"/>
      </w:pPr>
      <w:r>
        <w:t>The empirical evidence we have surveyed is largely based on laboratory experiments using self-selected student</w:t>
      </w:r>
      <w:r>
        <w:t>s. This homogeneous sample might constitute a problem if students are found to behave in systematically different ways than the rest of the population. If the students who self-select into experiments behave more prosocially then the results provide a bias</w:t>
      </w:r>
      <w:r>
        <w:t>ed estimate of the extent to which there are other-regarding preferences in the population.</w:t>
      </w:r>
    </w:p>
    <w:p w:rsidR="001F4DAE" w:rsidRDefault="00FA169C">
      <w:pPr>
        <w:pStyle w:val="BodyText"/>
        <w:jc w:val="both"/>
      </w:pPr>
      <w:r>
        <w:t>Falk, Meier, and Zehnder (2013) provide an interesting study of this question where they are able to distinguish whether students who self-select into laboratory ex</w:t>
      </w:r>
      <w:r>
        <w:t>periments are any different from those students who don’t, as well as whether these have different social preferences from the rest of the population.</w:t>
      </w:r>
    </w:p>
    <w:p w:rsidR="001F4DAE" w:rsidRDefault="00FA169C">
      <w:pPr>
        <w:pStyle w:val="BodyText"/>
        <w:jc w:val="both"/>
      </w:pPr>
      <w:r>
        <w:t>They analyze the decisions of a sample of 16,666 undergraduates at the University of Zurich for which the</w:t>
      </w:r>
      <w:r>
        <w:t>y know who participated in experiments and how many times. To measure the extent of their prosocial inclinations they use data collected from a naturally occurring repeated decision where each student must decide whether or not he or she wants to contribut</w:t>
      </w:r>
      <w:r>
        <w:t>e a predeterminate amount to two social funds which provide charitable services. The authors conclude that participating students do not have different social preferences than their nonparticipating colleagues. If there is a bias then it is because student</w:t>
      </w:r>
      <w:r>
        <w:t>s are different from everyone else.</w:t>
      </w:r>
    </w:p>
    <w:p w:rsidR="001F4DAE" w:rsidRDefault="00FA169C">
      <w:pPr>
        <w:pStyle w:val="BodyText"/>
        <w:jc w:val="both"/>
      </w:pPr>
      <w:r>
        <w:t xml:space="preserve">To see if such a difference exists the authors employ two identical trust games using distinct subject pools so that the only difference in prosocial behavior comes from </w:t>
      </w:r>
      <w:r>
        <w:lastRenderedPageBreak/>
        <w:t>differences between the two subject pools employed</w:t>
      </w:r>
      <w:r>
        <w:t xml:space="preserve"> and not changes in experimental design. One group was recruited from the student pool at the University of Zurich and the other from a representative sample of the population of the city of Zurich. In total 1,296 participants were recruited (295 students </w:t>
      </w:r>
      <w:r>
        <w:t>and 1,001 from the general population)</w:t>
      </w:r>
    </w:p>
    <w:p w:rsidR="001F4DAE" w:rsidRDefault="00FA169C">
      <w:pPr>
        <w:pStyle w:val="BodyText"/>
        <w:jc w:val="both"/>
      </w:pPr>
      <w:r>
        <w:t xml:space="preserve">They find that the non-student subject pool behaves more prosocially than the student subject pool which implies that by regularly employing students in their experiments researchers might be downwardly biasing their </w:t>
      </w:r>
      <w:r>
        <w:t>inferences about the existence of other-regarding preferences, i.e., to the extent that this is an issue is more one of magnitude than direction. The finding that students exhibit less prosocial behavior than the rest of the population is consistent with a</w:t>
      </w:r>
      <w:r>
        <w:t xml:space="preserve"> range of other evidence, e.g., CEOs tend to be more prosocial than students (Fehr and List 2004).</w:t>
      </w:r>
    </w:p>
    <w:p w:rsidR="001F4DAE" w:rsidRDefault="00FA169C">
      <w:pPr>
        <w:pStyle w:val="BodyText"/>
        <w:jc w:val="both"/>
      </w:pPr>
      <w:r>
        <w:t>Indeed, concerns about the homogeneity of the subject pools used in laboratory experiments being problematic has been dealt with powerfully with the experime</w:t>
      </w:r>
      <w:r>
        <w:t>nts performed by Henrich et al. (2005). Even though they report wide variation in the extent to which people in different societies have other-regarding preferences, the fact that none of the societies studied confirmed the self-regarding predictions impli</w:t>
      </w:r>
      <w:r>
        <w:t>es that other-regarding preferences may well be a general feature of human nature.</w:t>
      </w:r>
    </w:p>
    <w:p w:rsidR="001F4DAE" w:rsidRDefault="00FA169C">
      <w:pPr>
        <w:pStyle w:val="Heading1"/>
        <w:jc w:val="both"/>
      </w:pPr>
      <w:r>
        <w:t>Modelling Other-Regarding Preferences</w:t>
      </w:r>
    </w:p>
    <w:p w:rsidR="001F4DAE" w:rsidRDefault="00FA169C">
      <w:pPr>
        <w:pStyle w:val="FirstParagraph"/>
        <w:jc w:val="both"/>
      </w:pPr>
      <w:r>
        <w:t>The evidence surveyed previously establishes that agents often have preoccupations not only about what happens to themselves but also w</w:t>
      </w:r>
      <w:r>
        <w:t xml:space="preserve">ith what happens to other </w:t>
      </w:r>
      <w:r>
        <w:lastRenderedPageBreak/>
        <w:t>people. Economic models often do not include these social preferences in their structure, possibly limiting the set of behaviors they are able to explore. At worst, by not taking into account the existence of other-regarding prefe</w:t>
      </w:r>
      <w:r>
        <w:t>rences these models may reach incorrect conclusions about the economic behavior of agents.</w:t>
      </w:r>
    </w:p>
    <w:p w:rsidR="001F4DAE" w:rsidRDefault="00FA169C">
      <w:pPr>
        <w:pStyle w:val="BodyText"/>
        <w:jc w:val="both"/>
      </w:pPr>
      <w:r>
        <w:t>There is thus the need for a theoretical model that takes into account the empirical findings on other-regarding preferences. The Fehr-Schmidt model of inequity aver</w:t>
      </w:r>
      <w:r>
        <w:t>sion developed in Fehr and Schmidt (1999) is a proposal for such a model. A description of this model and an application to the ultimatum game follows.</w:t>
      </w:r>
    </w:p>
    <w:p w:rsidR="001F4DAE" w:rsidRDefault="00FA169C">
      <w:pPr>
        <w:pStyle w:val="Heading2"/>
        <w:jc w:val="both"/>
      </w:pPr>
      <w:bookmarkStart w:id="10" w:name="the-fehr-schmidt-model-of-inequity-avers"/>
      <w:bookmarkEnd w:id="10"/>
      <w:r>
        <w:t>The Fehr-Schmidt Model of Inequity Aversion</w:t>
      </w:r>
    </w:p>
    <w:p w:rsidR="001F4DAE" w:rsidRDefault="00FA169C">
      <w:pPr>
        <w:pStyle w:val="FirstParagraph"/>
        <w:jc w:val="both"/>
      </w:pPr>
      <w:r>
        <w:t xml:space="preserve">Consider </w:t>
      </w:r>
      <m:oMath>
        <m:r>
          <w:rPr>
            <w:rFonts w:ascii="Cambria Math" w:hAnsi="Cambria Math"/>
          </w:rPr>
          <m:t>n</m:t>
        </m:r>
      </m:oMath>
      <w:r>
        <w:t xml:space="preserve"> individuals, each with a respective monetary pay</w:t>
      </w:r>
      <w:r>
        <w:t xml:space="preserve">off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The payoffs of all individuals but the individual </w:t>
      </w:r>
      <m:oMath>
        <m:r>
          <w:rPr>
            <w:rFonts w:ascii="Cambria Math" w:hAnsi="Cambria Math"/>
          </w:rPr>
          <m:t>i</m:t>
        </m:r>
      </m:oMath>
      <w:r>
        <w:t xml:space="preserve"> is denoted by the vector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m:t>
            </m:r>
            <m:r>
              <w:rPr>
                <w:rFonts w:ascii="Cambria Math" w:hAnsi="Cambria Math"/>
              </w:rPr>
              <m:t>i</m:t>
            </m:r>
          </m:sub>
        </m:sSub>
      </m:oMath>
      <w:r>
        <w:t xml:space="preserve">. For any </w:t>
      </w:r>
      <m:oMath>
        <m:r>
          <w:rPr>
            <w:rFonts w:ascii="Cambria Math" w:hAnsi="Cambria Math"/>
          </w:rPr>
          <m:t>i</m:t>
        </m:r>
      </m:oMath>
      <w:r>
        <w:t>, the Fehr-Schmidt utility function, henceforth FS utility function, is defined as:</w:t>
      </w:r>
    </w:p>
    <w:p w:rsidR="001F4DAE" w:rsidRDefault="00FA169C">
      <w:pPr>
        <w:pStyle w:val="BodyText"/>
        <w:jc w:val="both"/>
      </w:pPr>
      <m:oMathPara>
        <m:oMath>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i</m:t>
                        </m:r>
                      </m:sub>
                    </m:sSub>
                  </m:num>
                  <m:den>
                    <m:r>
                      <w:rPr>
                        <w:rFonts w:ascii="Cambria Math" w:hAnsi="Cambria Math"/>
                      </w:rPr>
                      <m:t>n</m:t>
                    </m:r>
                    <m:r>
                      <w:rPr>
                        <w:rFonts w:ascii="Cambria Math" w:hAnsi="Cambria Math"/>
                      </w:rPr>
                      <m:t>-</m:t>
                    </m:r>
                    <m:r>
                      <w:rPr>
                        <w:rFonts w:ascii="Cambria Math" w:hAnsi="Cambria Math"/>
                      </w:rPr>
                      <m:t>1</m:t>
                    </m:r>
                  </m:den>
                </m:f>
                <m:nary>
                  <m:naryPr>
                    <m:chr m:val="∑"/>
                    <m:supHide m:val="1"/>
                    <m:ctrlPr>
                      <w:rPr>
                        <w:rFonts w:ascii="Cambria Math" w:hAnsi="Cambria Math"/>
                      </w:rPr>
                    </m:ctrlPr>
                  </m:naryPr>
                  <m:sub>
                    <m:r>
                      <w:rPr>
                        <w:rFonts w:ascii="Cambria Math" w:hAnsi="Cambria Math"/>
                      </w:rPr>
                      <m:t>j</m:t>
                    </m:r>
                    <m:r>
                      <w:rPr>
                        <w:rFonts w:ascii="Cambria Math" w:hAnsi="Cambria Math"/>
                      </w:rPr>
                      <m:t>≠</m:t>
                    </m:r>
                    <m:r>
                      <w:rPr>
                        <w:rFonts w:ascii="Cambria Math" w:hAnsi="Cambria Math"/>
                      </w:rPr>
                      <m:t>i</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d>
                  </m:e>
                </m:nary>
              </m:e>
            </m:mr>
          </m:m>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w:rPr>
                  <w:rFonts w:ascii="Cambria Math" w:hAnsi="Cambria Math"/>
                </w:rPr>
                <m:t>n</m:t>
              </m:r>
              <m:r>
                <w:rPr>
                  <w:rFonts w:ascii="Cambria Math" w:hAnsi="Cambria Math"/>
                </w:rPr>
                <m:t>-</m:t>
              </m:r>
              <m:r>
                <w:rPr>
                  <w:rFonts w:ascii="Cambria Math" w:hAnsi="Cambria Math"/>
                </w:rPr>
                <m:t>1</m:t>
              </m:r>
            </m:den>
          </m:f>
          <m:nary>
            <m:naryPr>
              <m:chr m:val="∑"/>
              <m:supHide m:val="1"/>
              <m:ctrlPr>
                <w:rPr>
                  <w:rFonts w:ascii="Cambria Math" w:hAnsi="Cambria Math"/>
                </w:rPr>
              </m:ctrlPr>
            </m:naryPr>
            <m:sub>
              <m:r>
                <w:rPr>
                  <w:rFonts w:ascii="Cambria Math" w:hAnsi="Cambria Math"/>
                </w:rPr>
                <m:t>j</m:t>
              </m:r>
              <m:r>
                <w:rPr>
                  <w:rFonts w:ascii="Cambria Math" w:hAnsi="Cambria Math"/>
                </w:rPr>
                <m:t>≠</m:t>
              </m:r>
              <m:r>
                <w:rPr>
                  <w:rFonts w:ascii="Cambria Math" w:hAnsi="Cambria Math"/>
                </w:rPr>
                <m:t>i</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,0</m:t>
                  </m:r>
                </m:e>
              </m:d>
            </m:e>
          </m:nary>
        </m:oMath>
      </m:oMathPara>
    </w:p>
    <w:p w:rsidR="001F4DAE" w:rsidRDefault="00FA169C">
      <w:pPr>
        <w:pStyle w:val="BodyText"/>
        <w:jc w:val="both"/>
      </w:pPr>
      <w: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oMath>
      <w:r>
        <w:t xml:space="preserve"> and </w:t>
      </w:r>
      <m:oMath>
        <m:r>
          <w:rPr>
            <w:rFonts w:ascii="Cambria Math" w:hAnsi="Cambria Math"/>
          </w:rPr>
          <m:t>0≤</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&lt;1</m:t>
        </m:r>
      </m:oMath>
      <w:r>
        <w:t xml:space="preserve">. It is easy to see that the FS utility function describes an individual with self-regarding preferences if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m:t>
        </m:r>
      </m:oMath>
      <w:r>
        <w:t xml:space="preserve">, in which case </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oMath>
      <w:r>
        <w:t>.</w:t>
      </w:r>
    </w:p>
    <w:p w:rsidR="001F4DAE" w:rsidRDefault="00FA169C">
      <w:pPr>
        <w:pStyle w:val="BodyText"/>
        <w:jc w:val="both"/>
      </w:pPr>
      <w:r>
        <w:t>The FS utility function models the i</w:t>
      </w:r>
      <w:r>
        <w:t xml:space="preserve">ndividual as comparing his situation with the situation of the individuals around him. That is, the individual exhibits self-centered inequity aversion, where some people are better off than him and he his better off than other people. This is captured by </w:t>
      </w:r>
      <w:r>
        <w:t>the second and third terms in the function, respectively.</w:t>
      </w:r>
    </w:p>
    <w:p w:rsidR="001F4DAE" w:rsidRDefault="00FA169C">
      <w:pPr>
        <w:pStyle w:val="BodyText"/>
        <w:jc w:val="both"/>
      </w:pPr>
      <w:r>
        <w:lastRenderedPageBreak/>
        <w:t>The second term in the FS utility function measures the utility loss from disadvantageous inequality, more colloquially called envy, while the third term measures the loss from advantageous inequali</w:t>
      </w:r>
      <w:r>
        <w:t xml:space="preserve">ty, or altruism. It is assumed that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This means that, for the same magnitude, an individual loses more utility from another individual being better of than him than in the contrary situation. Envy is a more psychologically salient condition than </w:t>
      </w:r>
      <w:r>
        <w:t>altruism.</w:t>
      </w:r>
    </w:p>
    <w:p w:rsidR="001F4DAE" w:rsidRDefault="00FA169C">
      <w:pPr>
        <w:pStyle w:val="BodyText"/>
        <w:jc w:val="both"/>
      </w:pPr>
      <w:r>
        <w:t xml:space="preserve">While there is no upper bound on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it is assumed that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&lt;1</m:t>
        </m:r>
      </m:oMath>
      <w:r>
        <w:t xml:space="preserve">. The reasoning for this upper bound is that when an individual with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≥1</m:t>
        </m:r>
      </m:oMath>
      <w:r>
        <w:t xml:space="preserve"> reduces his advantage over other individuals he is increasing his utility by more than he is reducing his </w:t>
      </w:r>
      <w:r>
        <w:t xml:space="preserve">advantage. This seems implausible as it would require extremely high levels of altruism from the individual. Eckel and Gintis (2010) report the magnitudes of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from various studies. The evidence indeed suggests that for most individuals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&lt;1</m:t>
        </m:r>
      </m:oMath>
      <w:r>
        <w:t xml:space="preserve"> </w:t>
      </w:r>
      <w:r>
        <w:t xml:space="preserve">and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&lt;</m:t>
        </m:r>
        <m:sSub>
          <m:sSubPr>
            <m:ctrlPr>
              <w:rPr>
                <w:rFonts w:ascii="Cambria Math" w:hAnsi="Cambria Math"/>
              </w:rPr>
            </m:ctrlPr>
          </m:sSubPr>
          <m:e>
            <m:r>
              <w:rPr>
                <w:rFonts w:ascii="Cambria Math" w:hAnsi="Cambria Math"/>
              </w:rPr>
              <m:t>α</m:t>
            </m:r>
          </m:e>
          <m:sub>
            <m:r>
              <w:rPr>
                <w:rFonts w:ascii="Cambria Math" w:hAnsi="Cambria Math"/>
              </w:rPr>
              <m:t>i</m:t>
            </m:r>
          </m:sub>
        </m:sSub>
      </m:oMath>
      <w:r>
        <w:t>.</w:t>
      </w:r>
    </w:p>
    <w:p w:rsidR="001F4DAE" w:rsidRDefault="00FA169C">
      <w:pPr>
        <w:pStyle w:val="BodyText"/>
        <w:jc w:val="both"/>
      </w:pPr>
      <w:r>
        <w:t>We will now see how the Fehr-Schmidt model can be used to understand the behavior seen in the ultimatum game that was previously unexplainable using models with just self-regarding preferences.</w:t>
      </w:r>
    </w:p>
    <w:p w:rsidR="001F4DAE" w:rsidRDefault="00FA169C">
      <w:pPr>
        <w:pStyle w:val="Heading3"/>
        <w:jc w:val="both"/>
      </w:pPr>
      <w:bookmarkStart w:id="11" w:name="the-ultimatum-game-1"/>
      <w:bookmarkEnd w:id="11"/>
      <w:r>
        <w:t>The ultimatum Game</w:t>
      </w:r>
    </w:p>
    <w:p w:rsidR="001F4DAE" w:rsidRDefault="00FA169C">
      <w:pPr>
        <w:pStyle w:val="FirstParagraph"/>
        <w:jc w:val="both"/>
      </w:pPr>
      <w:r>
        <w:t xml:space="preserve">A proposer and a responder play the ultimatum game. They are, respectively, Player 1 and Player 2. Of the full endowment researchers award to Player 1, the share of it that is proposed is denoted by </w:t>
      </w:r>
      <m:oMath>
        <m:r>
          <w:rPr>
            <w:rFonts w:ascii="Cambria Math" w:hAnsi="Cambria Math"/>
          </w:rPr>
          <m:t>s</m:t>
        </m:r>
      </m:oMath>
      <w:r>
        <w:t>.</w:t>
      </w:r>
    </w:p>
    <w:p w:rsidR="001F4DAE" w:rsidRDefault="00FA169C">
      <w:pPr>
        <w:pStyle w:val="BodyText"/>
        <w:jc w:val="both"/>
      </w:pPr>
      <w:r>
        <w:t xml:space="preserve">The responder accepts all offers </w:t>
      </w:r>
      <m:oMath>
        <m:r>
          <w:rPr>
            <w:rFonts w:ascii="Cambria Math" w:hAnsi="Cambria Math"/>
          </w:rPr>
          <m:t>s</m:t>
        </m:r>
        <m:r>
          <w:rPr>
            <w:rFonts w:ascii="Cambria Math" w:hAnsi="Cambria Math"/>
          </w:rPr>
          <m:t>≥0.5</m:t>
        </m:r>
      </m:oMath>
      <w:r>
        <w:t>. There is a c</w:t>
      </w:r>
      <w:r>
        <w:t xml:space="preserve">ritical share,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&lt;0.5</m:t>
        </m:r>
      </m:oMath>
      <w:r>
        <w:t xml:space="preserve"> such that the responder rejects all offers below it and accepts all offers </w:t>
      </w:r>
      <m:oMath>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oMath>
      <w:r>
        <w:t>.</w:t>
      </w:r>
    </w:p>
    <w:p w:rsidR="001F4DAE" w:rsidRDefault="00FA169C">
      <w:pPr>
        <w:pStyle w:val="BodyText"/>
        <w:jc w:val="both"/>
      </w:pPr>
      <w:r>
        <w:lastRenderedPageBreak/>
        <w:t xml:space="preserve">If </w:t>
      </w:r>
      <m:oMath>
        <m:r>
          <w:rPr>
            <w:rFonts w:ascii="Cambria Math" w:hAnsi="Cambria Math"/>
          </w:rPr>
          <m:t>s</m:t>
        </m:r>
        <m:r>
          <w:rPr>
            <w:rFonts w:ascii="Cambria Math" w:hAnsi="Cambria Math"/>
          </w:rPr>
          <m:t>&gt;0.5</m:t>
        </m:r>
      </m:oMath>
      <w:r>
        <w:t>, taking into account the FS utility function for the case with only 2 players, we have the following for the responder:</w:t>
      </w:r>
    </w:p>
    <w:p w:rsidR="001F4DAE" w:rsidRDefault="00FA169C">
      <w:pPr>
        <w:pStyle w:val="BodyText"/>
        <w:jc w:val="both"/>
      </w:pPr>
      <m:oMathPara>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d>
            <m:dPr>
              <m:begChr m:val="["/>
              <m:endChr m:val="]"/>
              <m:ctrlPr>
                <w:rPr>
                  <w:rFonts w:ascii="Cambria Math" w:hAnsi="Cambria Math"/>
                </w:rPr>
              </m:ctrlPr>
            </m:dPr>
            <m:e>
              <m:r>
                <w:rPr>
                  <w:rFonts w:ascii="Cambria Math" w:hAnsi="Cambria Math"/>
                </w:rPr>
                <m:t>s</m:t>
              </m:r>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s</m:t>
                  </m:r>
                </m:e>
              </m:d>
            </m:e>
          </m:d>
        </m:oMath>
      </m:oMathPara>
    </w:p>
    <w:p w:rsidR="001F4DAE" w:rsidRDefault="00FA169C">
      <w:pPr>
        <w:pStyle w:val="BodyText"/>
        <w:jc w:val="both"/>
      </w:pPr>
      <w:r>
        <w:t xml:space="preserve">which is positive because </w:t>
      </w:r>
      <m:oMath>
        <m:r>
          <w:rPr>
            <w:rFonts w:ascii="Cambria Math" w:hAnsi="Cambria Math"/>
          </w:rPr>
          <m:t>β</m:t>
        </m:r>
        <m:r>
          <w:rPr>
            <w:rFonts w:ascii="Cambria Math" w:hAnsi="Cambria Math"/>
          </w:rPr>
          <m:t>∈</m:t>
        </m:r>
        <m:d>
          <m:dPr>
            <m:begChr m:val="["/>
            <m:ctrlPr>
              <w:rPr>
                <w:rFonts w:ascii="Cambria Math" w:hAnsi="Cambria Math"/>
              </w:rPr>
            </m:ctrlPr>
          </m:dPr>
          <m:e>
            <m:r>
              <w:rPr>
                <w:rFonts w:ascii="Cambria Math" w:hAnsi="Cambria Math"/>
              </w:rPr>
              <m:t>0,1</m:t>
            </m:r>
          </m:e>
        </m:d>
      </m:oMath>
      <w:r>
        <w:t>, hence the responder will accept.</w:t>
      </w:r>
    </w:p>
    <w:p w:rsidR="001F4DAE" w:rsidRDefault="00FA169C">
      <w:pPr>
        <w:pStyle w:val="BodyText"/>
        <w:jc w:val="both"/>
      </w:pPr>
      <w:r>
        <w:t xml:space="preserve">Now suppose </w:t>
      </w:r>
      <m:oMath>
        <m:r>
          <w:rPr>
            <w:rFonts w:ascii="Cambria Math" w:hAnsi="Cambria Math"/>
          </w:rPr>
          <m:t>s</m:t>
        </m:r>
        <m:r>
          <w:rPr>
            <w:rFonts w:ascii="Cambria Math" w:hAnsi="Cambria Math"/>
          </w:rPr>
          <m:t>&lt;0.5</m:t>
        </m:r>
      </m:oMath>
      <w:r>
        <w:t>. In this case we have</w:t>
      </w:r>
    </w:p>
    <w:p w:rsidR="001F4DAE" w:rsidRDefault="00FA169C">
      <w:pPr>
        <w:pStyle w:val="BodyText"/>
        <w:jc w:val="both"/>
      </w:pPr>
      <m:oMathPara>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d>
            <m:dPr>
              <m:begChr m:val="["/>
              <m:endChr m:val="]"/>
              <m:ctrlPr>
                <w:rPr>
                  <w:rFonts w:ascii="Cambria Math" w:hAnsi="Cambria Math"/>
                </w:rPr>
              </m:ctrlPr>
            </m:dPr>
            <m:e>
              <m:d>
                <m:dPr>
                  <m:ctrlPr>
                    <w:rPr>
                      <w:rFonts w:ascii="Cambria Math" w:hAnsi="Cambria Math"/>
                    </w:rPr>
                  </m:ctrlPr>
                </m:dPr>
                <m:e>
                  <m:r>
                    <w:rPr>
                      <w:rFonts w:ascii="Cambria Math" w:hAnsi="Cambria Math"/>
                    </w:rPr>
                    <m:t>1-</m:t>
                  </m:r>
                  <m:r>
                    <w:rPr>
                      <w:rFonts w:ascii="Cambria Math" w:hAnsi="Cambria Math"/>
                    </w:rPr>
                    <m:t>s</m:t>
                  </m:r>
                </m:e>
              </m:d>
              <m:r>
                <w:rPr>
                  <w:rFonts w:ascii="Cambria Math" w:hAnsi="Cambria Math"/>
                </w:rPr>
                <m:t>-</m:t>
              </m:r>
              <m:r>
                <w:rPr>
                  <w:rFonts w:ascii="Cambria Math" w:hAnsi="Cambria Math"/>
                </w:rPr>
                <m:t>s</m:t>
              </m:r>
            </m:e>
          </m:d>
          <m: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oMath>
      </m:oMathPara>
    </w:p>
    <w:p w:rsidR="001F4DAE" w:rsidRDefault="00FA169C">
      <w:pPr>
        <w:pStyle w:val="BodyText"/>
        <w:jc w:val="both"/>
      </w:pPr>
      <w:r>
        <w:t xml:space="preserve">For this to be positive we need </w:t>
      </w:r>
      <m:oMath>
        <m:r>
          <w:rPr>
            <w:rFonts w:ascii="Cambria Math" w:hAnsi="Cambria Math"/>
          </w:rPr>
          <m:t>s</m:t>
        </m:r>
      </m:oMath>
      <w:r>
        <w:t xml:space="preserve"> such that</w:t>
      </w:r>
    </w:p>
    <w:p w:rsidR="001F4DAE" w:rsidRDefault="00FA169C">
      <w:pPr>
        <w:pStyle w:val="BodyText"/>
        <w:jc w:val="both"/>
      </w:pPr>
      <m:oMathPara>
        <m:oMath>
          <m:r>
            <w:rPr>
              <w:rFonts w:ascii="Cambria Math" w:hAnsi="Cambria Math"/>
            </w:rPr>
            <m:t>s</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2</m:t>
                  </m:r>
                </m:sub>
              </m:sSub>
            </m:num>
            <m:den>
              <m:r>
                <w:rPr>
                  <w:rFonts w:ascii="Cambria Math" w:hAnsi="Cambria Math"/>
                </w:rPr>
                <m:t>1+2</m:t>
              </m:r>
              <m:sSub>
                <m:sSubPr>
                  <m:ctrlPr>
                    <w:rPr>
                      <w:rFonts w:ascii="Cambria Math" w:hAnsi="Cambria Math"/>
                    </w:rPr>
                  </m:ctrlPr>
                </m:sSubPr>
                <m:e>
                  <m:r>
                    <w:rPr>
                      <w:rFonts w:ascii="Cambria Math" w:hAnsi="Cambria Math"/>
                    </w:rPr>
                    <m:t>α</m:t>
                  </m:r>
                </m:e>
                <m:sub>
                  <m:r>
                    <w:rPr>
                      <w:rFonts w:ascii="Cambria Math" w:hAnsi="Cambria Math"/>
                    </w:rPr>
                    <m:t>2</m:t>
                  </m:r>
                </m:sub>
              </m:sSub>
            </m:den>
          </m:f>
        </m:oMath>
      </m:oMathPara>
    </w:p>
    <w:p w:rsidR="001F4DAE" w:rsidRDefault="00FA169C">
      <w:pPr>
        <w:pStyle w:val="BodyText"/>
        <w:jc w:val="both"/>
      </w:pPr>
      <w:r>
        <w:t xml:space="preserve">Taking </w:t>
      </w: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oMath>
      <w:r>
        <w:t xml:space="preserve"> reveals that the critical threshold,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is </w:t>
      </w:r>
      <w:r>
        <w:t>0.5.</w:t>
      </w:r>
    </w:p>
    <w:p w:rsidR="001F4DAE" w:rsidRDefault="00FA169C">
      <w:pPr>
        <w:pStyle w:val="BodyText"/>
        <w:jc w:val="both"/>
      </w:pPr>
      <w:r>
        <w:t>The equilibrium share offered by the proposer is given by:</w:t>
      </w:r>
    </w:p>
    <w:p w:rsidR="001F4DAE" w:rsidRDefault="00FA169C">
      <w:pPr>
        <w:pStyle w:val="BodyText"/>
        <w:jc w:val="both"/>
      </w:pPr>
      <m:oMathPara>
        <m:oMath>
          <m:sSup>
            <m:sSupPr>
              <m:ctrlPr>
                <w:rPr>
                  <w:rFonts w:ascii="Cambria Math" w:hAnsi="Cambria Math"/>
                </w:rPr>
              </m:ctrlPr>
            </m:sSupPr>
            <m:e>
              <m:r>
                <w:rPr>
                  <w:rFonts w:ascii="Cambria Math" w:hAnsi="Cambria Math"/>
                </w:rPr>
                <m:t>s</m:t>
              </m:r>
            </m:e>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c</m:t>
                        </m:r>
                      </m:sub>
                    </m:sSub>
                  </m:e>
                  <m:e>
                    <m:r>
                      <w:rPr>
                        <w:rFonts w:ascii="Cambria Math" w:hAnsi="Cambria Math"/>
                      </w:rPr>
                      <m:t>if</m:t>
                    </m:r>
                  </m:e>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&lt;0.5</m:t>
                    </m:r>
                  </m:e>
                </m:mr>
                <m:mr>
                  <m:e>
                    <m:r>
                      <w:rPr>
                        <w:rFonts w:ascii="Cambria Math" w:hAnsi="Cambria Math"/>
                      </w:rPr>
                      <m:t>0.5</m:t>
                    </m:r>
                  </m:e>
                  <m:e>
                    <m:r>
                      <w:rPr>
                        <w:rFonts w:ascii="Cambria Math" w:hAnsi="Cambria Math"/>
                      </w:rPr>
                      <m:t>if</m:t>
                    </m:r>
                  </m:e>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&gt;0.5</m:t>
                    </m:r>
                  </m:e>
                </m:mr>
                <m:mr>
                  <m:e>
                    <m:sSub>
                      <m:sSubPr>
                        <m:ctrlPr>
                          <w:rPr>
                            <w:rFonts w:ascii="Cambria Math" w:hAnsi="Cambria Math"/>
                          </w:rPr>
                        </m:ctrlPr>
                      </m:sSubPr>
                      <m:e>
                        <m:r>
                          <w:rPr>
                            <w:rFonts w:ascii="Cambria Math" w:hAnsi="Cambria Math"/>
                          </w:rPr>
                          <m:t>s</m:t>
                        </m:r>
                      </m:e>
                      <m:sub>
                        <m:r>
                          <w:rPr>
                            <w:rFonts w:ascii="Cambria Math" w:hAnsi="Cambria Math"/>
                          </w:rPr>
                          <m:t>∈</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,0.5</m:t>
                        </m:r>
                      </m:e>
                    </m:d>
                  </m:e>
                  <m:e>
                    <m:r>
                      <w:rPr>
                        <w:rFonts w:ascii="Cambria Math" w:hAnsi="Cambria Math"/>
                      </w:rPr>
                      <m:t>if</m:t>
                    </m:r>
                  </m:e>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=0.5</m:t>
                    </m:r>
                  </m:e>
                </m:mr>
              </m:m>
            </m:e>
          </m:d>
        </m:oMath>
      </m:oMathPara>
    </w:p>
    <w:p w:rsidR="001F4DAE" w:rsidRDefault="00FA169C">
      <w:pPr>
        <w:pStyle w:val="BodyText"/>
        <w:jc w:val="both"/>
      </w:pPr>
      <w:r>
        <w:t xml:space="preserve">From the previous lemma we know that the responder will accept any share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w:rPr>
            <w:rFonts w:ascii="Cambria Math" w:hAnsi="Cambria Math"/>
          </w:rPr>
          <m:t>s</m:t>
        </m:r>
        <m:r>
          <w:rPr>
            <w:rFonts w:ascii="Cambria Math" w:hAnsi="Cambria Math"/>
          </w:rPr>
          <m:t>≤0.5</m:t>
        </m:r>
      </m:oMath>
      <w:r>
        <w:t>. Let us consider such a share. From the FS utility f</w:t>
      </w:r>
      <w:r>
        <w:t xml:space="preserve">unction we have, for the proposer,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d>
              <m:dPr>
                <m:ctrlPr>
                  <w:rPr>
                    <w:rFonts w:ascii="Cambria Math" w:hAnsi="Cambria Math"/>
                  </w:rPr>
                </m:ctrlPr>
              </m:dPr>
              <m:e>
                <m:r>
                  <w:rPr>
                    <w:rFonts w:ascii="Cambria Math" w:hAnsi="Cambria Math"/>
                  </w:rPr>
                  <m:t>1-</m:t>
                </m:r>
                <m:r>
                  <w:rPr>
                    <w:rFonts w:ascii="Cambria Math" w:hAnsi="Cambria Math"/>
                  </w:rPr>
                  <m:t>s</m:t>
                </m:r>
              </m:e>
            </m:d>
            <m:r>
              <w:rPr>
                <w:rFonts w:ascii="Cambria Math" w:hAnsi="Cambria Math"/>
              </w:rPr>
              <m:t>-</m:t>
            </m:r>
            <m:r>
              <w:rPr>
                <w:rFonts w:ascii="Cambria Math" w:hAnsi="Cambria Math"/>
              </w:rPr>
              <m:t>s</m:t>
            </m:r>
          </m:e>
        </m:d>
      </m:oMath>
      <w:r>
        <w:t xml:space="preserve">. Taking the first derivative with respect to </w:t>
      </w:r>
      <m:oMath>
        <m:r>
          <w:rPr>
            <w:rFonts w:ascii="Cambria Math" w:hAnsi="Cambria Math"/>
          </w:rPr>
          <w:lastRenderedPageBreak/>
          <m:t>s</m:t>
        </m:r>
      </m:oMath>
      <w:r>
        <w:t xml:space="preserve"> leaves us with </w:t>
      </w:r>
      <m:oMath>
        <m:r>
          <w:rPr>
            <w:rFonts w:ascii="Cambria Math" w:hAnsi="Cambria Math"/>
          </w:rPr>
          <m:t>2</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1</m:t>
        </m:r>
      </m:oMath>
      <w:r>
        <w:t xml:space="preserve">. Thus,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&lt;0.5</m:t>
        </m:r>
      </m:oMath>
      <w:r>
        <w:t xml:space="preserve">, we have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w:rPr>
                <w:rFonts w:ascii="Cambria Math" w:hAnsi="Cambria Math"/>
              </w:rPr>
              <m:t>∂s</m:t>
            </m:r>
          </m:den>
        </m:f>
        <m:r>
          <w:rPr>
            <w:rFonts w:ascii="Cambria Math" w:hAnsi="Cambria Math"/>
          </w:rPr>
          <m:t>&lt;0</m:t>
        </m:r>
      </m:oMath>
      <w:r>
        <w:t xml:space="preserve"> so the proposer should offer the minimum possible that the responder will accept, i.e., </w:t>
      </w:r>
      <m:oMath>
        <m:sSub>
          <m:sSubPr>
            <m:ctrlPr>
              <w:rPr>
                <w:rFonts w:ascii="Cambria Math" w:hAnsi="Cambria Math"/>
              </w:rPr>
            </m:ctrlPr>
          </m:sSubPr>
          <m:e>
            <m:r>
              <w:rPr>
                <w:rFonts w:ascii="Cambria Math" w:hAnsi="Cambria Math"/>
              </w:rPr>
              <m:t>s</m:t>
            </m:r>
          </m:e>
          <m:sub>
            <m:r>
              <w:rPr>
                <w:rFonts w:ascii="Cambria Math" w:hAnsi="Cambria Math"/>
              </w:rPr>
              <m:t>c</m:t>
            </m:r>
          </m:sub>
        </m:sSub>
      </m:oMath>
      <w:r>
        <w:t>.</w:t>
      </w:r>
      <w:r>
        <w:rPr>
          <w:rStyle w:val="FootnoteAnchor"/>
        </w:rPr>
        <w:footnoteReference w:id="5"/>
      </w:r>
    </w:p>
    <w:p w:rsidR="001F4DAE" w:rsidRDefault="00FA169C">
      <w:pPr>
        <w:pStyle w:val="BodyText"/>
        <w:jc w:val="both"/>
      </w:pPr>
      <w:r>
        <w:t xml:space="preserve">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=0.5</m:t>
        </m:r>
      </m:oMath>
      <w:r>
        <w:t xml:space="preserve"> we have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w:rPr>
                <w:rFonts w:ascii="Cambria Math" w:hAnsi="Cambria Math"/>
              </w:rPr>
              <m:t>∂s</m:t>
            </m:r>
          </m:den>
        </m:f>
        <m:r>
          <w:rPr>
            <w:rFonts w:ascii="Cambria Math" w:hAnsi="Cambria Math"/>
          </w:rPr>
          <m:t>=0</m:t>
        </m:r>
      </m:oMath>
      <w:r>
        <w:t xml:space="preserve"> so any feasible share between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and 0.5 may be offered and will be accepted.</w:t>
      </w:r>
    </w:p>
    <w:p w:rsidR="001F4DAE" w:rsidRDefault="00FA169C">
      <w:pPr>
        <w:pStyle w:val="BodyText"/>
        <w:jc w:val="both"/>
      </w:pPr>
      <w:r>
        <w:t xml:space="preserve">For values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higher than 0.5,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w:rPr>
                <w:rFonts w:ascii="Cambria Math" w:hAnsi="Cambria Math"/>
              </w:rPr>
              <m:t>∂s</m:t>
            </m:r>
          </m:den>
        </m:f>
        <m:r>
          <w:rPr>
            <w:rFonts w:ascii="Cambria Math" w:hAnsi="Cambria Math"/>
          </w:rPr>
          <m:t>&gt;0</m:t>
        </m:r>
      </m:oMath>
      <w:r>
        <w:t xml:space="preserve">, so we have </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=0.5</m:t>
        </m:r>
      </m:oMath>
      <w:r>
        <w:t>.</w:t>
      </w:r>
    </w:p>
    <w:p w:rsidR="001F4DAE" w:rsidRDefault="00FA169C">
      <w:pPr>
        <w:pStyle w:val="BodyText"/>
        <w:jc w:val="both"/>
      </w:pPr>
      <w:r>
        <w:t>Given what we know about the results usually observed from playing the ult</w:t>
      </w:r>
      <w:r>
        <w:t xml:space="preserve">imatum game, we can see that the Fehr-Schmidt model matches the experimental results reasonably well. Fehr and Schmidt note that their model “yields too extreme predictions in ... the dictator game”, where proposers only offer high offers </w:t>
      </w:r>
      <m:oMath>
        <m:d>
          <m:dPr>
            <m:ctrlPr>
              <w:rPr>
                <w:rFonts w:ascii="Cambria Math" w:hAnsi="Cambria Math"/>
              </w:rPr>
            </m:ctrlPr>
          </m:dPr>
          <m:e>
            <m:r>
              <w:rPr>
                <w:rFonts w:ascii="Cambria Math" w:hAnsi="Cambria Math"/>
              </w:rPr>
              <m:t>s</m:t>
            </m:r>
            <m:r>
              <w:rPr>
                <w:rFonts w:ascii="Cambria Math" w:hAnsi="Cambria Math"/>
              </w:rPr>
              <m:t>=0.5</m:t>
            </m:r>
          </m:e>
        </m:d>
      </m:oMath>
      <w:r>
        <w:t xml:space="preserve"> or very lo</w:t>
      </w:r>
      <w:r>
        <w:t xml:space="preserve">w offers </w:t>
      </w:r>
      <m:oMath>
        <m:d>
          <m:dPr>
            <m:ctrlPr>
              <w:rPr>
                <w:rFonts w:ascii="Cambria Math" w:hAnsi="Cambria Math"/>
              </w:rPr>
            </m:ctrlPr>
          </m:dPr>
          <m:e>
            <m:r>
              <w:rPr>
                <w:rFonts w:ascii="Cambria Math" w:hAnsi="Cambria Math"/>
              </w:rPr>
              <m:t>s</m:t>
            </m:r>
            <m:r>
              <w:rPr>
                <w:rFonts w:ascii="Cambria Math" w:hAnsi="Cambria Math"/>
              </w:rPr>
              <m:t>=0</m:t>
            </m:r>
          </m:e>
        </m:d>
      </m:oMath>
      <w:r>
        <w:t>, a prediction rejected by the data.</w:t>
      </w:r>
    </w:p>
    <w:p w:rsidR="001F4DAE" w:rsidRDefault="00FA169C">
      <w:pPr>
        <w:pStyle w:val="BodyText"/>
        <w:jc w:val="both"/>
      </w:pPr>
      <w:r>
        <w:t>They note that their model can easily be modified so that the assumption that inequity aversion is linear can be dropped and substituted by a utility function that is concave in the amount of advantageous i</w:t>
      </w:r>
      <w:r>
        <w:t>nequality. With this new assumption the results of the dictator game can also be accommodated.</w:t>
      </w:r>
    </w:p>
    <w:p w:rsidR="001F4DAE" w:rsidRDefault="00FA169C">
      <w:pPr>
        <w:pStyle w:val="Heading1"/>
        <w:jc w:val="both"/>
      </w:pPr>
      <w:r>
        <w:t>Contract Design Under Other-Regarding Preferences</w:t>
      </w:r>
    </w:p>
    <w:p w:rsidR="001F4DAE" w:rsidRDefault="00FA169C">
      <w:pPr>
        <w:pStyle w:val="FirstParagraph"/>
        <w:jc w:val="both"/>
      </w:pPr>
      <w:r>
        <w:t>The results from the gift exchange game surveyed previously indicate that reciprocity influences the relationsh</w:t>
      </w:r>
      <w:r>
        <w:t xml:space="preserve">ip between principal and worker in that the </w:t>
      </w:r>
      <w:r>
        <w:lastRenderedPageBreak/>
        <w:t>principal can elicit more effort from the worker by offering a higher wage even though there are no guarantees that the worker will reciprocate by exerting a higher effort. This leads us to question how these dev</w:t>
      </w:r>
      <w:r>
        <w:t>iations from the self-regarding model influence how best to structure the incentives that mediate the relationship between the two parties.</w:t>
      </w:r>
    </w:p>
    <w:p w:rsidR="001F4DAE" w:rsidRDefault="00FA169C">
      <w:pPr>
        <w:pStyle w:val="BodyText"/>
        <w:jc w:val="both"/>
      </w:pPr>
      <w:r>
        <w:t>In this section we will apply what we have learned about other-regarding preferences to understand how they affect t</w:t>
      </w:r>
      <w:r>
        <w:t>he optimal choice between competing types of contracts under the existence of moral hazard. More colloquially, we are interested in knowing whether it is best for the principal to reach for the carrot rather than the stick.</w:t>
      </w:r>
    </w:p>
    <w:p w:rsidR="001F4DAE" w:rsidRDefault="00FA169C">
      <w:pPr>
        <w:pStyle w:val="BodyText"/>
        <w:jc w:val="both"/>
      </w:pPr>
      <w:r>
        <w:t>Consider a principal who contrac</w:t>
      </w:r>
      <w:r>
        <w:t xml:space="preserve">ts an agent to work for him. The agent can expend effort </w:t>
      </w:r>
      <m:oMath>
        <m:r>
          <w:rPr>
            <w:rFonts w:ascii="Cambria Math" w:hAnsi="Cambria Math"/>
          </w:rPr>
          <m:t>e</m:t>
        </m:r>
        <m:r>
          <w:rPr>
            <w:rFonts w:ascii="Cambria Math" w:hAnsi="Cambria Math"/>
          </w:rPr>
          <m:t>∈</m:t>
        </m:r>
        <m:d>
          <m:dPr>
            <m:begChr m:val="["/>
            <m:endChr m:val="]"/>
            <m:ctrlPr>
              <w:rPr>
                <w:rFonts w:ascii="Cambria Math" w:hAnsi="Cambria Math"/>
              </w:rPr>
            </m:ctrlPr>
          </m:dPr>
          <m:e>
            <m:bar>
              <m:barPr>
                <m:ctrlPr>
                  <w:rPr>
                    <w:rFonts w:ascii="Cambria Math" w:hAnsi="Cambria Math"/>
                  </w:rPr>
                </m:ctrlPr>
              </m:barPr>
              <m:e>
                <m:r>
                  <w:rPr>
                    <w:rFonts w:ascii="Cambria Math" w:hAnsi="Cambria Math"/>
                  </w:rPr>
                  <m:t>e</m:t>
                </m:r>
              </m:e>
            </m:bar>
            <m:r>
              <w:rPr>
                <w:rFonts w:ascii="Cambria Math" w:hAnsi="Cambria Math"/>
              </w:rPr>
              <m:t>,</m:t>
            </m:r>
            <m:bar>
              <m:barPr>
                <m:pos m:val="top"/>
                <m:ctrlPr>
                  <w:rPr>
                    <w:rFonts w:ascii="Cambria Math" w:hAnsi="Cambria Math"/>
                  </w:rPr>
                </m:ctrlPr>
              </m:barPr>
              <m:e>
                <m:r>
                  <w:rPr>
                    <w:rFonts w:ascii="Cambria Math" w:hAnsi="Cambria Math"/>
                  </w:rPr>
                  <m:t>e</m:t>
                </m:r>
              </m:e>
            </m:bar>
          </m:e>
        </m:d>
      </m:oMath>
      <w:r>
        <w:t xml:space="preserve"> at a cost </w:t>
      </w:r>
      <m:oMath>
        <m:r>
          <w:rPr>
            <w:rFonts w:ascii="Cambria Math" w:hAnsi="Cambria Math"/>
          </w:rPr>
          <m:t>c</m:t>
        </m:r>
        <m:d>
          <m:dPr>
            <m:ctrlPr>
              <w:rPr>
                <w:rFonts w:ascii="Cambria Math" w:hAnsi="Cambria Math"/>
              </w:rPr>
            </m:ctrlPr>
          </m:dPr>
          <m:e>
            <m:r>
              <w:rPr>
                <w:rFonts w:ascii="Cambria Math" w:hAnsi="Cambria Math"/>
              </w:rPr>
              <m:t>e</m:t>
            </m:r>
          </m:e>
        </m:d>
      </m:oMath>
      <w:r>
        <w:t xml:space="preserve"> such that </w:t>
      </w:r>
      <m:oMath>
        <m:r>
          <w:rPr>
            <w:rFonts w:ascii="Cambria Math" w:hAnsi="Cambria Math"/>
          </w:rPr>
          <m:t>c</m:t>
        </m:r>
        <m:r>
          <w:rPr>
            <w:rFonts w:ascii="Cambria Math" w:hAnsi="Cambria Math"/>
          </w:rPr>
          <m:t>'&gt;0</m:t>
        </m:r>
      </m:oMath>
      <w:r>
        <w:t xml:space="preserve"> and </w:t>
      </w:r>
      <m:oMath>
        <m:r>
          <w:rPr>
            <w:rFonts w:ascii="Cambria Math" w:hAnsi="Cambria Math"/>
          </w:rPr>
          <m:t>c</m:t>
        </m:r>
        <m:r>
          <w:rPr>
            <w:rFonts w:ascii="Cambria Math" w:hAnsi="Cambria Math"/>
          </w:rPr>
          <m:t>″&gt;0</m:t>
        </m:r>
      </m:oMath>
      <w:r>
        <w:t xml:space="preserve">, where </w:t>
      </w:r>
      <m:oMath>
        <m:r>
          <w:rPr>
            <w:rFonts w:ascii="Cambria Math" w:hAnsi="Cambria Math"/>
          </w:rPr>
          <m:t>c</m:t>
        </m:r>
        <m:d>
          <m:dPr>
            <m:ctrlPr>
              <w:rPr>
                <w:rFonts w:ascii="Cambria Math" w:hAnsi="Cambria Math"/>
              </w:rPr>
            </m:ctrlPr>
          </m:dPr>
          <m:e>
            <m:r>
              <w:rPr>
                <w:rFonts w:ascii="Cambria Math" w:hAnsi="Cambria Math"/>
              </w:rPr>
              <m:t>e</m:t>
            </m:r>
          </m:e>
        </m:d>
      </m:oMath>
      <w:r>
        <w:t xml:space="preserve"> denotes the effort cost function. The principal wants the agent to expend </w:t>
      </w:r>
      <m:oMath>
        <m:sSub>
          <m:sSubPr>
            <m:ctrlPr>
              <w:rPr>
                <w:rFonts w:ascii="Cambria Math" w:hAnsi="Cambria Math"/>
              </w:rPr>
            </m:ctrlPr>
          </m:sSubPr>
          <m:e>
            <m:r>
              <w:rPr>
                <w:rFonts w:ascii="Cambria Math" w:hAnsi="Cambria Math"/>
              </w:rPr>
              <m:t>e</m:t>
            </m:r>
          </m:e>
          <m:sub>
            <m:r>
              <w:rPr>
                <w:rFonts w:ascii="Cambria Math" w:hAnsi="Cambria Math"/>
              </w:rPr>
              <m:t>min</m:t>
            </m:r>
          </m:sub>
        </m:sSub>
      </m:oMath>
      <w:r>
        <w:t>, which he introduces in the contract as the contracted</w:t>
      </w:r>
      <w:r>
        <w:t xml:space="preserve"> effort level. However, </w:t>
      </w:r>
      <m:oMath>
        <m:sSub>
          <m:sSubPr>
            <m:ctrlPr>
              <w:rPr>
                <w:rFonts w:ascii="Cambria Math" w:hAnsi="Cambria Math"/>
              </w:rPr>
            </m:ctrlPr>
          </m:sSubPr>
          <m:e>
            <m:r>
              <w:rPr>
                <w:rFonts w:ascii="Cambria Math" w:hAnsi="Cambria Math"/>
              </w:rPr>
              <m:t>e</m:t>
            </m:r>
          </m:e>
          <m:sub>
            <m:r>
              <w:rPr>
                <w:rFonts w:ascii="Cambria Math" w:hAnsi="Cambria Math"/>
              </w:rPr>
              <m:t>min</m:t>
            </m:r>
          </m:sub>
        </m:sSub>
      </m:oMath>
      <w:r>
        <w:t xml:space="preserve"> is non-binding since the agent’s effort is not verifiable. Because the principal might want to provide evidence to a third party in the case where the worker is expending less effort than the contracted one the principal mi</w:t>
      </w:r>
      <w:r>
        <w:t xml:space="preserve">ght invest in a verification technology that costs </w:t>
      </w:r>
      <m:oMath>
        <m:r>
          <w:rPr>
            <w:rFonts w:ascii="Cambria Math" w:hAnsi="Cambria Math"/>
          </w:rPr>
          <m:t>k</m:t>
        </m:r>
      </m:oMath>
      <w:r>
        <w:t xml:space="preserve">. This technology is able to provide evidence of shirking with a probability </w:t>
      </w:r>
      <m:oMath>
        <m:r>
          <w:rPr>
            <w:rFonts w:ascii="Cambria Math" w:hAnsi="Cambria Math"/>
          </w:rPr>
          <m:t>p</m:t>
        </m:r>
        <m:r>
          <w:rPr>
            <w:rFonts w:ascii="Cambria Math" w:hAnsi="Cambria Math"/>
          </w:rPr>
          <m:t>∈</m:t>
        </m:r>
        <m:d>
          <m:dPr>
            <m:ctrlPr>
              <w:rPr>
                <w:rFonts w:ascii="Cambria Math" w:hAnsi="Cambria Math"/>
              </w:rPr>
            </m:ctrlPr>
          </m:dPr>
          <m:e>
            <m:r>
              <w:rPr>
                <w:rFonts w:ascii="Cambria Math" w:hAnsi="Cambria Math"/>
              </w:rPr>
              <m:t>0,1</m:t>
            </m:r>
          </m:e>
        </m:d>
      </m:oMath>
      <w:r>
        <w:t xml:space="preserve"> which the principal can then use to impose a fine </w:t>
      </w:r>
      <m:oMath>
        <m:r>
          <w:rPr>
            <w:rFonts w:ascii="Cambria Math" w:hAnsi="Cambria Math"/>
          </w:rPr>
          <m:t>f</m:t>
        </m:r>
      </m:oMath>
      <w:r>
        <w:t xml:space="preserve"> on the agent.</w:t>
      </w:r>
    </w:p>
    <w:p w:rsidR="001F4DAE" w:rsidRDefault="00FA169C">
      <w:pPr>
        <w:pStyle w:val="BodyText"/>
        <w:jc w:val="both"/>
      </w:pPr>
      <w:r>
        <w:t xml:space="preserve">In Fehr, Klein, and Schmidt (2007) a cohort of individuals are randomly selected into the roles of principal and agent and are then matched into principal-agent pairs. </w:t>
      </w:r>
      <w:r>
        <w:lastRenderedPageBreak/>
        <w:t>The game is played for 10 periods where in each one a new pair is created so that no age</w:t>
      </w:r>
      <w:r>
        <w:t>nt interacts more than once with the same principal. In the first stage of the game the principal chooses the type of contract and whether to invest in a verification technology; he proceeds to make an offer to the agent he is matched with. In the second s</w:t>
      </w:r>
      <w:r>
        <w:t xml:space="preserve">tage the agent decides whether to accept the contract and, if he does, how much effort to expend. In the third and final stage, if the principal has invested in the verification technology, evidence of the agent’s effort level is obtained with probability </w:t>
      </w:r>
      <m:oMath>
        <m:r>
          <w:rPr>
            <w:rFonts w:ascii="Cambria Math" w:hAnsi="Cambria Math"/>
          </w:rPr>
          <m:t>p</m:t>
        </m:r>
      </m:oMath>
      <w:r>
        <w:t xml:space="preserve"> and the terms of the contract are enforced.</w:t>
      </w:r>
    </w:p>
    <w:p w:rsidR="001F4DAE" w:rsidRDefault="00FA169C">
      <w:pPr>
        <w:pStyle w:val="BodyText"/>
        <w:jc w:val="both"/>
      </w:pPr>
      <w:r>
        <w:t>The three types of contract the principal has at his disposal to offer are:</w:t>
      </w:r>
    </w:p>
    <w:p w:rsidR="001F4DAE" w:rsidRDefault="00FA169C">
      <w:pPr>
        <w:numPr>
          <w:ilvl w:val="0"/>
          <w:numId w:val="3"/>
        </w:numPr>
        <w:jc w:val="both"/>
      </w:pPr>
      <w:r>
        <w:rPr>
          <w:b/>
        </w:rPr>
        <w:t>Incentive contract</w:t>
      </w:r>
      <w:r>
        <w:t xml:space="preserve">: The contract specifies the wage </w:t>
      </w:r>
      <m:oMath>
        <m:r>
          <w:rPr>
            <w:rFonts w:ascii="Cambria Math" w:hAnsi="Cambria Math"/>
          </w:rPr>
          <m:t>w</m:t>
        </m:r>
      </m:oMath>
      <w:r>
        <w:t xml:space="preserve">, the contracted effort level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and the maximum fine </w:t>
      </w:r>
      <m:oMath>
        <m:bar>
          <m:barPr>
            <m:pos m:val="top"/>
            <m:ctrlPr>
              <w:rPr>
                <w:rFonts w:ascii="Cambria Math" w:hAnsi="Cambria Math"/>
              </w:rPr>
            </m:ctrlPr>
          </m:barPr>
          <m:e>
            <m:r>
              <w:rPr>
                <w:rFonts w:ascii="Cambria Math" w:hAnsi="Cambria Math"/>
              </w:rPr>
              <m:t>f</m:t>
            </m:r>
          </m:e>
        </m:bar>
      </m:oMath>
      <w:r>
        <w:t xml:space="preserve"> to be imposed on th</w:t>
      </w:r>
      <w:r>
        <w:t>e agent if evidence of shirking is discovered. It is assumed the principal has invested in the verification technology.</w:t>
      </w:r>
    </w:p>
    <w:p w:rsidR="001F4DAE" w:rsidRDefault="00FA169C">
      <w:pPr>
        <w:numPr>
          <w:ilvl w:val="0"/>
          <w:numId w:val="3"/>
        </w:numPr>
        <w:jc w:val="both"/>
      </w:pPr>
      <w:r>
        <w:rPr>
          <w:b/>
        </w:rPr>
        <w:t>Trust contract</w:t>
      </w:r>
      <w:r>
        <w:t xml:space="preserve">: The contract specifies the wage </w:t>
      </w:r>
      <m:oMath>
        <m:r>
          <w:rPr>
            <w:rFonts w:ascii="Cambria Math" w:hAnsi="Cambria Math"/>
          </w:rPr>
          <m:t>w</m:t>
        </m:r>
      </m:oMath>
      <w:r>
        <w:t xml:space="preserve"> and the contracted effort level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but there is no investment in the verification technology. Therefore,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is non-verifiable and </w:t>
      </w:r>
      <m:oMath>
        <m:r>
          <w:rPr>
            <w:rFonts w:ascii="Cambria Math" w:hAnsi="Cambria Math"/>
          </w:rPr>
          <m:t>w</m:t>
        </m:r>
      </m:oMath>
      <w:r>
        <w:t xml:space="preserve"> is not contingent on the actual effort of the agent.</w:t>
      </w:r>
    </w:p>
    <w:p w:rsidR="001F4DAE" w:rsidRDefault="00FA169C">
      <w:pPr>
        <w:numPr>
          <w:ilvl w:val="0"/>
          <w:numId w:val="3"/>
        </w:numPr>
        <w:jc w:val="both"/>
      </w:pPr>
      <w:r>
        <w:rPr>
          <w:b/>
        </w:rPr>
        <w:t>Bonus contract</w:t>
      </w:r>
      <w:r>
        <w:t>: This contract is similar to the trust contract except where if the agent expends an ef</w:t>
      </w:r>
      <w:r>
        <w:t xml:space="preserve">fort level superior to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the principal might choose to reward the agent by offering a bonus </w:t>
      </w:r>
      <m:oMath>
        <m:r>
          <w:rPr>
            <w:rFonts w:ascii="Cambria Math" w:hAnsi="Cambria Math"/>
          </w:rPr>
          <m:t>b</m:t>
        </m:r>
      </m:oMath>
      <w:r>
        <w:t>, which is not enforceable.</w:t>
      </w:r>
    </w:p>
    <w:p w:rsidR="001F4DAE" w:rsidRDefault="00FA169C">
      <w:pPr>
        <w:pStyle w:val="FirstParagraph"/>
        <w:jc w:val="both"/>
      </w:pPr>
      <w:r>
        <w:t>An analysis of what type of contract the principal would find preferable to offer under the assumption of self-regarding agents and</w:t>
      </w:r>
      <w:r>
        <w:t xml:space="preserve"> principals is similar to the one made for the gift exchange game. Given the non-enforceability of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in both the trust and bonus contracts, and the added non-enforceability of </w:t>
      </w:r>
      <m:oMath>
        <m:r>
          <w:rPr>
            <w:rFonts w:ascii="Cambria Math" w:hAnsi="Cambria Math"/>
          </w:rPr>
          <m:t>b</m:t>
        </m:r>
      </m:oMath>
      <w:r>
        <w:t xml:space="preserve"> in the bonus contract, it is trivial to conclude that self-regarding agent</w:t>
      </w:r>
      <w:r>
        <w:t>s will exert the lowest possible effort level.</w:t>
      </w:r>
    </w:p>
    <w:p w:rsidR="001F4DAE" w:rsidRDefault="00FA169C">
      <w:pPr>
        <w:pStyle w:val="BodyText"/>
        <w:jc w:val="both"/>
      </w:pPr>
      <w:r>
        <w:lastRenderedPageBreak/>
        <w:t xml:space="preserve">However, the principal is able to induce a positive effort level from the risk-neutral agent if the verification technology is potent enough so that </w:t>
      </w:r>
      <m:oMath>
        <m:r>
          <w:rPr>
            <w:rFonts w:ascii="Cambria Math" w:hAnsi="Cambria Math"/>
          </w:rPr>
          <m:t>p</m:t>
        </m:r>
        <m:bar>
          <m:barPr>
            <m:pos m:val="top"/>
            <m:ctrlPr>
              <w:rPr>
                <w:rFonts w:ascii="Cambria Math" w:hAnsi="Cambria Math"/>
              </w:rPr>
            </m:ctrlPr>
          </m:barPr>
          <m:e>
            <m:r>
              <w:rPr>
                <w:rFonts w:ascii="Cambria Math" w:hAnsi="Cambria Math"/>
              </w:rPr>
              <m:t>f</m:t>
            </m:r>
          </m:e>
        </m:bar>
        <m:r>
          <w:rPr>
            <w:rFonts w:ascii="Cambria Math" w:hAnsi="Cambria Math"/>
          </w:rPr>
          <m:t>≥</m:t>
        </m:r>
        <m:r>
          <w:rPr>
            <w:rFonts w:ascii="Cambria Math" w:hAnsi="Cambria Math"/>
          </w:rPr>
          <m:t>c</m:t>
        </m:r>
        <m:d>
          <m:dPr>
            <m:ctrlPr>
              <w:rPr>
                <w:rFonts w:ascii="Cambria Math" w:hAnsi="Cambria Math"/>
              </w:rPr>
            </m:ctrlPr>
          </m:dPr>
          <m:e>
            <m:sSup>
              <m:sSupPr>
                <m:ctrlPr>
                  <w:rPr>
                    <w:rFonts w:ascii="Cambria Math" w:hAnsi="Cambria Math"/>
                  </w:rPr>
                </m:ctrlPr>
              </m:sSupPr>
              <m:e>
                <m:r>
                  <w:rPr>
                    <w:rFonts w:ascii="Cambria Math" w:hAnsi="Cambria Math"/>
                  </w:rPr>
                  <m:t>e</m:t>
                </m:r>
              </m:e>
              <m:sup>
                <m:r>
                  <m:rPr>
                    <m:lit/>
                    <m:nor/>
                  </m:rPr>
                  <w:rPr>
                    <w:rFonts w:ascii="Cambria Math" w:hAnsi="Cambria Math"/>
                  </w:rPr>
                  <m:t>*</m:t>
                </m:r>
              </m:sup>
            </m:sSup>
          </m:e>
        </m:d>
        <m:r>
          <w:rPr>
            <w:rFonts w:ascii="Cambria Math" w:hAnsi="Cambria Math"/>
          </w:rPr>
          <m:t>-</m:t>
        </m:r>
        <m:r>
          <w:rPr>
            <w:rFonts w:ascii="Cambria Math" w:hAnsi="Cambria Math"/>
          </w:rPr>
          <m:t>c</m:t>
        </m:r>
        <m:d>
          <m:dPr>
            <m:ctrlPr>
              <w:rPr>
                <w:rFonts w:ascii="Cambria Math" w:hAnsi="Cambria Math"/>
              </w:rPr>
            </m:ctrlPr>
          </m:dPr>
          <m:e>
            <m:bar>
              <m:barPr>
                <m:ctrlPr>
                  <w:rPr>
                    <w:rFonts w:ascii="Cambria Math" w:hAnsi="Cambria Math"/>
                  </w:rPr>
                </m:ctrlPr>
              </m:barPr>
              <m:e>
                <m:r>
                  <w:rPr>
                    <w:rFonts w:ascii="Cambria Math" w:hAnsi="Cambria Math"/>
                  </w:rPr>
                  <m:t>e</m:t>
                </m:r>
              </m:e>
            </m:bar>
          </m:e>
        </m:d>
      </m:oMath>
      <w:r>
        <w:t>. Therefore, under the assumption of self-reg</w:t>
      </w:r>
      <w:r>
        <w:t>arding preferences, the principal will choose the incentive contract over the other two available alternatives: the trust and bonus contracts. This is a testable prediction.</w:t>
      </w:r>
    </w:p>
    <w:p w:rsidR="001F4DAE" w:rsidRDefault="00FA169C">
      <w:pPr>
        <w:pStyle w:val="BodyText"/>
        <w:jc w:val="both"/>
      </w:pPr>
      <w:r>
        <w:t>Fehr, Klein, and Schmidt (2007) features two different experiments, one where prin</w:t>
      </w:r>
      <w:r>
        <w:t>cipals can choose between a trust and an incentive contract and another where principals choose between a bonus and an incentive contract. In the trust-incentive experiment the self-regarding preferences are largely confirmed. Most principals choose to off</w:t>
      </w:r>
      <w:r>
        <w:t>er agents an incentive contract and their share, over the 10 rounds played, increases over time. While there is experimentation on the part of most principals by offering a trust contract at least once, the differences in payoffs from both contracts were s</w:t>
      </w:r>
      <w:r>
        <w:t xml:space="preserve">uch that principals preferred the incentive contract. Once principals learned how to create an appropriate incentive contract with the right mix of </w:t>
      </w:r>
      <m:oMath>
        <m:r>
          <w:rPr>
            <w:rFonts w:ascii="Cambria Math" w:hAnsi="Cambria Math"/>
          </w:rPr>
          <m:t>w</m:t>
        </m:r>
      </m:oMath>
      <w:r>
        <w:t xml:space="preserve">,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and </w:t>
      </w:r>
      <m:oMath>
        <m:r>
          <w:rPr>
            <w:rFonts w:ascii="Cambria Math" w:hAnsi="Cambria Math"/>
          </w:rPr>
          <m:t>f</m:t>
        </m:r>
      </m:oMath>
      <w:r>
        <w:t>, they made up the large majority of contracts offered.</w:t>
      </w:r>
    </w:p>
    <w:p w:rsidR="001F4DAE" w:rsidRDefault="00FA169C">
      <w:pPr>
        <w:pStyle w:val="BodyText"/>
        <w:jc w:val="both"/>
      </w:pPr>
      <w:r>
        <w:t>It is in the bonus-incentive experim</w:t>
      </w:r>
      <w:r>
        <w:t xml:space="preserve">ent that deviations from the self-regarding prediction are observed. Recall that the bonus </w:t>
      </w:r>
      <m:oMath>
        <m:r>
          <w:rPr>
            <w:rFonts w:ascii="Cambria Math" w:hAnsi="Cambria Math"/>
          </w:rPr>
          <m:t>b</m:t>
        </m:r>
      </m:oMath>
      <w:r>
        <w:t xml:space="preserve"> in the bonus contract is non-enforceable. If the principal, in his self-regarding rationale, decides not to offer a bonus, then the bonus contract becomes a trust</w:t>
      </w:r>
      <w:r>
        <w:t xml:space="preserve"> one. Since agents are aware that the bonus is non-binding and therefore not likely to be realized, they should equate the bonus contract with the trust one and act accordingly. This would lead us to predict that in the bonus-incentive experiment we should</w:t>
      </w:r>
      <w:r>
        <w:t xml:space="preserve"> observe results similar to those </w:t>
      </w:r>
      <w:r>
        <w:lastRenderedPageBreak/>
        <w:t>from the trust-incentive one. This prediction is, however, not confirmed by the experimental results.</w:t>
      </w:r>
    </w:p>
    <w:p w:rsidR="001F4DAE" w:rsidRDefault="00FA169C">
      <w:pPr>
        <w:pStyle w:val="BodyText"/>
        <w:jc w:val="center"/>
      </w:pPr>
      <w:r>
        <w:t xml:space="preserve">Figure 6: </w:t>
      </w:r>
      <w:r>
        <w:rPr>
          <w:color w:val="000000"/>
        </w:rPr>
        <w:t>Share of bonus and incentive contracts in the bonus-incentive experiment</w:t>
      </w:r>
    </w:p>
    <w:p w:rsidR="001F4DAE" w:rsidRDefault="00FA169C">
      <w:pPr>
        <w:pStyle w:val="BodyText"/>
        <w:jc w:val="center"/>
      </w:pPr>
      <w:r>
        <w:rPr>
          <w:noProof/>
        </w:rPr>
        <w:drawing>
          <wp:inline distT="0" distB="0" distL="0" distR="0">
            <wp:extent cx="5334000" cy="3398520"/>
            <wp:effectExtent l="0" t="0" r="0" b="0"/>
            <wp:docPr id="6" name="Image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
                    <pic:cNvPicPr>
                      <a:picLocks noChangeAspect="1" noChangeArrowheads="1"/>
                    </pic:cNvPicPr>
                  </pic:nvPicPr>
                  <pic:blipFill>
                    <a:blip r:embed="rId12"/>
                    <a:stretch>
                      <a:fillRect/>
                    </a:stretch>
                  </pic:blipFill>
                  <pic:spPr bwMode="auto">
                    <a:xfrm>
                      <a:off x="0" y="0"/>
                      <a:ext cx="5334000" cy="3398520"/>
                    </a:xfrm>
                    <a:prstGeom prst="rect">
                      <a:avLst/>
                    </a:prstGeom>
                  </pic:spPr>
                </pic:pic>
              </a:graphicData>
            </a:graphic>
          </wp:inline>
        </w:drawing>
      </w:r>
      <w:r>
        <w:t xml:space="preserve"> Source: Fehr, Klein, and Schmidt (2</w:t>
      </w:r>
      <w:r>
        <w:t xml:space="preserve">007) </w:t>
      </w:r>
    </w:p>
    <w:p w:rsidR="001F4DAE" w:rsidRDefault="00FA169C">
      <w:pPr>
        <w:pStyle w:val="BodyText"/>
        <w:jc w:val="both"/>
      </w:pPr>
      <w:r>
        <w:t>The overwhelming majority of contracts in the bonus-incentive experiment are bonus contracts, with the incentive contract seldom being offered. This choice is driven by the ability of bonus contracts to elicit a higher effort level from the agents wh</w:t>
      </w:r>
      <w:r>
        <w:t>ich increases the payoff the principals get in comparison with the possible payoffs from the other contracts. Part of this larger surplus is then allocated by the principals as a bonus to the agents. The average income gained by agents in the bonus contrac</w:t>
      </w:r>
      <w:r>
        <w:t xml:space="preserve">t is approximately 23% higher than the one earned in the incentive </w:t>
      </w:r>
      <w:r>
        <w:lastRenderedPageBreak/>
        <w:t>contract. It turns out therefore that that the use of a bonus contract is beneficial to both parties.</w:t>
      </w:r>
    </w:p>
    <w:p w:rsidR="001F4DAE" w:rsidRDefault="00FA169C">
      <w:pPr>
        <w:pStyle w:val="BodyText"/>
        <w:jc w:val="both"/>
      </w:pPr>
      <w:r>
        <w:t>Since the self-regarding model does not explain this set of choices, we will suppose an</w:t>
      </w:r>
      <w:r>
        <w:t xml:space="preserve"> alternative where both the agent and the principal have other-regarding preferences of the Fehr-Schmidt form. This analysis follows closely Dhami (2016).</w:t>
      </w:r>
    </w:p>
    <w:p w:rsidR="001F4DAE" w:rsidRDefault="00FA169C">
      <w:pPr>
        <w:pStyle w:val="BodyText"/>
        <w:jc w:val="both"/>
      </w:pPr>
      <w:r>
        <w:t xml:space="preserve">For simplicity we will assume that the agent’s output, </w:t>
      </w:r>
      <m:oMath>
        <m:r>
          <w:rPr>
            <w:rFonts w:ascii="Cambria Math" w:hAnsi="Cambria Math"/>
          </w:rPr>
          <m:t>ν</m:t>
        </m:r>
        <m:d>
          <m:dPr>
            <m:ctrlPr>
              <w:rPr>
                <w:rFonts w:ascii="Cambria Math" w:hAnsi="Cambria Math"/>
              </w:rPr>
            </m:ctrlPr>
          </m:dPr>
          <m:e>
            <m:r>
              <w:rPr>
                <w:rFonts w:ascii="Cambria Math" w:hAnsi="Cambria Math"/>
              </w:rPr>
              <m:t>e</m:t>
            </m:r>
          </m:e>
        </m:d>
      </m:oMath>
      <w:r>
        <w:t xml:space="preserve">, is equal to </w:t>
      </w:r>
      <m:oMath>
        <m:r>
          <w:rPr>
            <w:rFonts w:ascii="Cambria Math" w:hAnsi="Cambria Math"/>
          </w:rPr>
          <m:t>e</m:t>
        </m:r>
      </m:oMath>
      <w:r>
        <w:t xml:space="preserve"> while the effort cost fun</w:t>
      </w:r>
      <w:r>
        <w:t xml:space="preserve">ction is </w:t>
      </w:r>
      <m:oMath>
        <m:r>
          <w:rPr>
            <w:rFonts w:ascii="Cambria Math" w:hAnsi="Cambria Math"/>
          </w:rPr>
          <m:t>c</m:t>
        </m:r>
        <m:d>
          <m:dPr>
            <m:ctrlPr>
              <w:rPr>
                <w:rFonts w:ascii="Cambria Math" w:hAnsi="Cambria Math"/>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where </w:t>
      </w:r>
      <m:oMath>
        <m:r>
          <w:rPr>
            <w:rFonts w:ascii="Cambria Math" w:hAnsi="Cambria Math"/>
          </w:rPr>
          <m:t>e</m:t>
        </m:r>
        <m:r>
          <w:rPr>
            <w:rFonts w:ascii="Cambria Math" w:hAnsi="Cambria Math"/>
          </w:rPr>
          <m:t>∈</m:t>
        </m:r>
        <m:d>
          <m:dPr>
            <m:begChr m:val="["/>
            <m:endChr m:val="]"/>
            <m:ctrlPr>
              <w:rPr>
                <w:rFonts w:ascii="Cambria Math" w:hAnsi="Cambria Math"/>
              </w:rPr>
            </m:ctrlPr>
          </m:dPr>
          <m:e>
            <m:r>
              <w:rPr>
                <w:rFonts w:ascii="Cambria Math" w:hAnsi="Cambria Math"/>
              </w:rPr>
              <m:t>0,1</m:t>
            </m:r>
          </m:e>
        </m:d>
      </m:oMath>
      <w:r>
        <w:t>. Under these specifications, the utility of a self-regarding agent and principal is given by, respectively</w:t>
      </w:r>
    </w:p>
    <w:p w:rsidR="001F4DAE" w:rsidRDefault="00FA169C">
      <w:pPr>
        <w:pStyle w:val="BodyText"/>
        <w:jc w:val="both"/>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r>
                      <w:rPr>
                        <w:rFonts w:ascii="Cambria Math" w:hAnsi="Cambria Math"/>
                      </w:rPr>
                      <m:t>=</m:t>
                    </m:r>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sub>
                    </m:sSub>
                  </m:e>
                </m:mr>
                <m:mr>
                  <m:e>
                    <m:r>
                      <w:rPr>
                        <w:rFonts w:ascii="Cambria Math" w:hAnsi="Cambria Math"/>
                      </w:rPr>
                      <m:t>π</m:t>
                    </m:r>
                    <m:r>
                      <w:rPr>
                        <w:rFonts w:ascii="Cambria Math" w:hAnsi="Cambria Math"/>
                      </w:rPr>
                      <m:t>=</m:t>
                    </m:r>
                    <m:r>
                      <w:rPr>
                        <w:rFonts w:ascii="Cambria Math" w:hAnsi="Cambria Math"/>
                      </w:rPr>
                      <m:t>e</m:t>
                    </m:r>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e>
                </m:mr>
              </m:m>
            </m:e>
          </m:d>
        </m:oMath>
      </m:oMathPara>
    </w:p>
    <w:p w:rsidR="001F4DAE" w:rsidRDefault="00FA169C">
      <w:pPr>
        <w:pStyle w:val="BodyText"/>
        <w:jc w:val="bot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are whatever other individual costs the agent and principal, respe</w:t>
      </w:r>
      <w:r>
        <w:t xml:space="preserve">ctively, incur by taking part in the relationship, such as the cost </w:t>
      </w:r>
      <m:oMath>
        <m:r>
          <w:rPr>
            <w:rFonts w:ascii="Cambria Math" w:hAnsi="Cambria Math"/>
          </w:rPr>
          <m:t>k</m:t>
        </m:r>
      </m:oMath>
      <w:r>
        <w:t xml:space="preserve"> of the verification technology for the principal. The respective FS preferences are given by</w:t>
      </w:r>
    </w:p>
    <w:p w:rsidR="001F4DAE" w:rsidRDefault="00FA169C">
      <w:pPr>
        <w:pStyle w:val="BodyText"/>
        <w:jc w:val="both"/>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d>
                      <m:dPr>
                        <m:ctrlPr>
                          <w:rPr>
                            <w:rFonts w:ascii="Cambria Math" w:hAnsi="Cambria Math"/>
                          </w:rPr>
                        </m:ctrlPr>
                      </m:dPr>
                      <m:e>
                        <m:r>
                          <w:rPr>
                            <w:rFonts w:ascii="Cambria Math" w:hAnsi="Cambria Math"/>
                          </w:rPr>
                          <m:t>u</m:t>
                        </m:r>
                        <m:r>
                          <w:rPr>
                            <w:rFonts w:ascii="Cambria Math" w:hAnsi="Cambria Math"/>
                          </w:rPr>
                          <m:t>,</m:t>
                        </m:r>
                        <m:r>
                          <w:rPr>
                            <w:rFonts w:ascii="Cambria Math" w:hAnsi="Cambria Math"/>
                          </w:rPr>
                          <m:t>π</m:t>
                        </m:r>
                      </m:e>
                    </m:d>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sub>
                    </m:sSub>
                    <m:r>
                      <w:rPr>
                        <w:rFonts w:ascii="Cambria Math" w:hAnsi="Cambria Math"/>
                      </w:rPr>
                      <m:t>max</m:t>
                    </m:r>
                    <m:r>
                      <w:rPr>
                        <w:rFonts w:ascii="Cambria Math" w:hAnsi="Cambria Math"/>
                      </w:rPr>
                      <m:t>{</m:t>
                    </m:r>
                    <m:r>
                      <w:rPr>
                        <w:rFonts w:ascii="Cambria Math" w:hAnsi="Cambria Math"/>
                      </w:rPr>
                      <m:t>π</m:t>
                    </m:r>
                    <m:r>
                      <w:rPr>
                        <w:rFonts w:ascii="Cambria Math" w:hAnsi="Cambria Math"/>
                      </w:rPr>
                      <m:t>-</m:t>
                    </m:r>
                    <m:r>
                      <w:rPr>
                        <w:rFonts w:ascii="Cambria Math" w:hAnsi="Cambria Math"/>
                      </w:rPr>
                      <m:t>u</m:t>
                    </m:r>
                    <m:r>
                      <w:rPr>
                        <w:rFonts w:ascii="Cambria Math" w:hAnsi="Cambria Math"/>
                      </w:rPr>
                      <m:t>,0}-</m:t>
                    </m:r>
                    <m:sSub>
                      <m:sSubPr>
                        <m:ctrlPr>
                          <w:rPr>
                            <w:rFonts w:ascii="Cambria Math" w:hAnsi="Cambria Math"/>
                          </w:rPr>
                        </m:ctrlPr>
                      </m:sSubPr>
                      <m:e>
                        <m:r>
                          <w:rPr>
                            <w:rFonts w:ascii="Cambria Math" w:hAnsi="Cambria Math"/>
                          </w:rPr>
                          <m:t>β</m:t>
                        </m:r>
                      </m:e>
                      <m:sub>
                        <m:r>
                          <w:rPr>
                            <w:rFonts w:ascii="Cambria Math" w:hAnsi="Cambria Math"/>
                          </w:rPr>
                          <m:t>A</m:t>
                        </m:r>
                      </m:sub>
                    </m:sSub>
                    <m:r>
                      <w:rPr>
                        <w:rFonts w:ascii="Cambria Math" w:hAnsi="Cambria Math"/>
                      </w:rPr>
                      <m:t>max</m:t>
                    </m:r>
                    <m:r>
                      <w:rPr>
                        <w:rFonts w:ascii="Cambria Math" w:hAnsi="Cambria Math"/>
                      </w:rPr>
                      <m:t>{</m:t>
                    </m:r>
                    <m:r>
                      <w:rPr>
                        <w:rFonts w:ascii="Cambria Math" w:hAnsi="Cambria Math"/>
                      </w:rPr>
                      <m:t>u</m:t>
                    </m:r>
                    <m:r>
                      <w:rPr>
                        <w:rFonts w:ascii="Cambria Math" w:hAnsi="Cambria Math"/>
                      </w:rPr>
                      <m:t>-</m:t>
                    </m:r>
                    <m:r>
                      <w:rPr>
                        <w:rFonts w:ascii="Cambria Math" w:hAnsi="Cambria Math"/>
                      </w:rPr>
                      <m:t>π</m:t>
                    </m:r>
                    <m:r>
                      <w:rPr>
                        <w:rFonts w:ascii="Cambria Math" w:hAnsi="Cambria Math"/>
                      </w:rPr>
                      <m:t>,0}</m:t>
                    </m:r>
                  </m:e>
                </m:mr>
                <m:mr>
                  <m:e>
                    <m:r>
                      <w:rPr>
                        <w:rFonts w:ascii="Cambria Math" w:hAnsi="Cambria Math"/>
                      </w:rPr>
                      <m:t>Π</m:t>
                    </m:r>
                    <m:d>
                      <m:dPr>
                        <m:ctrlPr>
                          <w:rPr>
                            <w:rFonts w:ascii="Cambria Math" w:hAnsi="Cambria Math"/>
                          </w:rPr>
                        </m:ctrlPr>
                      </m:dPr>
                      <m:e>
                        <m:r>
                          <w:rPr>
                            <w:rFonts w:ascii="Cambria Math" w:hAnsi="Cambria Math"/>
                          </w:rPr>
                          <m:t>u</m:t>
                        </m:r>
                        <m:r>
                          <w:rPr>
                            <w:rFonts w:ascii="Cambria Math" w:hAnsi="Cambria Math"/>
                          </w:rPr>
                          <m:t>,</m:t>
                        </m:r>
                        <m:r>
                          <w:rPr>
                            <w:rFonts w:ascii="Cambria Math" w:hAnsi="Cambria Math"/>
                          </w:rPr>
                          <m:t>π</m:t>
                        </m:r>
                      </m:e>
                    </m:d>
                    <m:r>
                      <w:rPr>
                        <w:rFonts w:ascii="Cambria Math" w:hAnsi="Cambria Math"/>
                      </w:rPr>
                      <m:t>=</m:t>
                    </m:r>
                    <m:r>
                      <w:rPr>
                        <w:rFonts w:ascii="Cambria Math" w:hAnsi="Cambria Math"/>
                      </w:rPr>
                      <m:t>π</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max</m:t>
                    </m:r>
                    <m:r>
                      <w:rPr>
                        <w:rFonts w:ascii="Cambria Math" w:hAnsi="Cambria Math"/>
                      </w:rPr>
                      <m:t>{</m:t>
                    </m:r>
                    <m:r>
                      <w:rPr>
                        <w:rFonts w:ascii="Cambria Math" w:hAnsi="Cambria Math"/>
                      </w:rPr>
                      <m:t>u</m:t>
                    </m:r>
                    <m:r>
                      <w:rPr>
                        <w:rFonts w:ascii="Cambria Math" w:hAnsi="Cambria Math"/>
                      </w:rPr>
                      <m:t>-</m:t>
                    </m:r>
                    <m:r>
                      <w:rPr>
                        <w:rFonts w:ascii="Cambria Math" w:hAnsi="Cambria Math"/>
                      </w:rPr>
                      <m:t>π</m:t>
                    </m:r>
                    <m:r>
                      <w:rPr>
                        <w:rFonts w:ascii="Cambria Math" w:hAnsi="Cambria Math"/>
                      </w:rPr>
                      <m:t>,0}-</m:t>
                    </m:r>
                    <m:sSub>
                      <m:sSubPr>
                        <m:ctrlPr>
                          <w:rPr>
                            <w:rFonts w:ascii="Cambria Math" w:hAnsi="Cambria Math"/>
                          </w:rPr>
                        </m:ctrlPr>
                      </m:sSubPr>
                      <m:e>
                        <m:r>
                          <w:rPr>
                            <w:rFonts w:ascii="Cambria Math" w:hAnsi="Cambria Math"/>
                          </w:rPr>
                          <m:t>β</m:t>
                        </m:r>
                      </m:e>
                      <m:sub>
                        <m:r>
                          <w:rPr>
                            <w:rFonts w:ascii="Cambria Math" w:hAnsi="Cambria Math"/>
                          </w:rPr>
                          <m:t>P</m:t>
                        </m:r>
                      </m:sub>
                    </m:sSub>
                    <m:r>
                      <w:rPr>
                        <w:rFonts w:ascii="Cambria Math" w:hAnsi="Cambria Math"/>
                      </w:rPr>
                      <m:t>max</m:t>
                    </m:r>
                    <m:r>
                      <w:rPr>
                        <w:rFonts w:ascii="Cambria Math" w:hAnsi="Cambria Math"/>
                      </w:rPr>
                      <m:t>{</m:t>
                    </m:r>
                    <m:r>
                      <w:rPr>
                        <w:rFonts w:ascii="Cambria Math" w:hAnsi="Cambria Math"/>
                      </w:rPr>
                      <m:t>π</m:t>
                    </m:r>
                    <m:r>
                      <w:rPr>
                        <w:rFonts w:ascii="Cambria Math" w:hAnsi="Cambria Math"/>
                      </w:rPr>
                      <m:t>-</m:t>
                    </m:r>
                    <m:r>
                      <w:rPr>
                        <w:rFonts w:ascii="Cambria Math" w:hAnsi="Cambria Math"/>
                      </w:rPr>
                      <m:t>u</m:t>
                    </m:r>
                    <m:r>
                      <w:rPr>
                        <w:rFonts w:ascii="Cambria Math" w:hAnsi="Cambria Math"/>
                      </w:rPr>
                      <m:t>,0}</m:t>
                    </m:r>
                  </m:e>
                </m:mr>
              </m:m>
            </m:e>
          </m:d>
        </m:oMath>
      </m:oMathPara>
    </w:p>
    <w:p w:rsidR="001F4DAE" w:rsidRDefault="00FA169C">
      <w:pPr>
        <w:pStyle w:val="BodyText"/>
        <w:jc w:val="both"/>
      </w:pPr>
      <w:r>
        <w:t xml:space="preserve">We make the additional assumption that </w:t>
      </w:r>
      <m:oMath>
        <m:r>
          <w:rPr>
            <w:rFonts w:ascii="Cambria Math" w:hAnsi="Cambria Math"/>
          </w:rPr>
          <m:t>α</m:t>
        </m:r>
      </m:oMath>
      <w:r>
        <w:t xml:space="preserve"> and </w:t>
      </w:r>
      <m:oMath>
        <m:r>
          <w:rPr>
            <w:rFonts w:ascii="Cambria Math" w:hAnsi="Cambria Math"/>
          </w:rPr>
          <m:t>β</m:t>
        </m:r>
      </m:oMath>
      <w:r>
        <w:t xml:space="preserve"> for both the agent and the principal are higher than 0.5, the reasoning being that under this assumption both parties will behave in ways such that their monetary payoffs are equalized. An indicatio</w:t>
      </w:r>
      <w:r>
        <w:t xml:space="preserve">n of why this is so is provided in the Appendix. The parameter estimates gathered in Eckel and Gintis (2010) show more support for the assumption that </w:t>
      </w:r>
      <m:oMath>
        <m:r>
          <w:rPr>
            <w:rFonts w:ascii="Cambria Math" w:hAnsi="Cambria Math"/>
          </w:rPr>
          <m:t>α</m:t>
        </m:r>
        <m:r>
          <w:rPr>
            <w:rFonts w:ascii="Cambria Math" w:hAnsi="Cambria Math"/>
          </w:rPr>
          <m:t>&gt;</m:t>
        </m:r>
        <m:r>
          <w:rPr>
            <w:rFonts w:ascii="Cambria Math" w:hAnsi="Cambria Math"/>
          </w:rPr>
          <w:lastRenderedPageBreak/>
          <m:t>0.5</m:t>
        </m:r>
      </m:oMath>
      <w:r>
        <w:t xml:space="preserve"> than for </w:t>
      </w:r>
      <m:oMath>
        <m:r>
          <w:rPr>
            <w:rFonts w:ascii="Cambria Math" w:hAnsi="Cambria Math"/>
          </w:rPr>
          <m:t>β</m:t>
        </m:r>
        <m:r>
          <w:rPr>
            <w:rFonts w:ascii="Cambria Math" w:hAnsi="Cambria Math"/>
          </w:rPr>
          <m:t>&gt;0.5</m:t>
        </m:r>
      </m:oMath>
      <w:r>
        <w:t>, but the assumption affords us simplicity. We further assume that the value of the</w:t>
      </w:r>
      <w:r>
        <w:t xml:space="preserve"> outside option of the agent is zero.</w:t>
      </w:r>
    </w:p>
    <w:p w:rsidR="001F4DAE" w:rsidRDefault="00FA169C">
      <w:pPr>
        <w:pStyle w:val="BodyText"/>
        <w:jc w:val="both"/>
      </w:pPr>
      <w:r>
        <w:t>To show why the principal chooses to offer a bonus contract over the incentive contract we need to demonstrate that the former dominates the latter. We start by describing the expected profits for the principal under t</w:t>
      </w:r>
      <w:r>
        <w:t>he incentive contract. The incentive compatibility constraint of the self-regarding agent is</w:t>
      </w:r>
      <w:r>
        <w:rPr>
          <w:rStyle w:val="FootnoteAnchor"/>
        </w:rPr>
        <w:footnoteReference w:id="6"/>
      </w:r>
    </w:p>
    <w:p w:rsidR="001F4DAE" w:rsidRDefault="00FA169C">
      <w:pPr>
        <w:pStyle w:val="BodyText"/>
        <w:jc w:val="both"/>
      </w:pPr>
      <m:oMathPara>
        <m:oMath>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w</m:t>
          </m:r>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w</m:t>
              </m:r>
              <m:r>
                <w:rPr>
                  <w:rFonts w:ascii="Cambria Math" w:hAnsi="Cambria Math"/>
                </w:rPr>
                <m:t>-</m:t>
              </m:r>
              <m:r>
                <w:rPr>
                  <w:rFonts w:ascii="Cambria Math" w:hAnsi="Cambria Math"/>
                </w:rPr>
                <m:t>f</m:t>
              </m:r>
            </m:e>
          </m:d>
          <m:r>
            <w:rPr>
              <w:rFonts w:ascii="Cambria Math" w:hAnsi="Cambria Math"/>
            </w:rPr>
            <m:t>≤</m:t>
          </m:r>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e</m:t>
              </m:r>
            </m:e>
            <m:sub>
              <m:r>
                <w:rPr>
                  <w:rFonts w:ascii="Cambria Math" w:hAnsi="Cambria Math"/>
                </w:rPr>
                <m:t>c</m:t>
              </m:r>
            </m:sub>
            <m:sup>
              <m:r>
                <w:rPr>
                  <w:rFonts w:ascii="Cambria Math" w:hAnsi="Cambria Math"/>
                </w:rPr>
                <m:t>2</m:t>
              </m:r>
            </m:sup>
          </m:sSubSup>
        </m:oMath>
      </m:oMathPara>
    </w:p>
    <w:p w:rsidR="001F4DAE" w:rsidRDefault="00FA169C">
      <w:pPr>
        <w:pStyle w:val="BodyText"/>
        <w:jc w:val="both"/>
      </w:pPr>
      <w:r>
        <w:t xml:space="preserve">where we assume </w:t>
      </w:r>
      <m:oMath>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=0</m:t>
        </m:r>
      </m:oMath>
      <w:r>
        <w:t xml:space="preserve">. This gives us </w:t>
      </w:r>
      <m:oMath>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m:t>
        </m:r>
        <m:rad>
          <m:radPr>
            <m:degHide m:val="1"/>
            <m:ctrlPr>
              <w:rPr>
                <w:rFonts w:ascii="Cambria Math" w:hAnsi="Cambria Math"/>
              </w:rPr>
            </m:ctrlPr>
          </m:radPr>
          <m:deg/>
          <m:e>
            <m:r>
              <w:rPr>
                <w:rFonts w:ascii="Cambria Math" w:hAnsi="Cambria Math"/>
              </w:rPr>
              <m:t>2</m:t>
            </m:r>
            <m:r>
              <w:rPr>
                <w:rFonts w:ascii="Cambria Math" w:hAnsi="Cambria Math"/>
              </w:rPr>
              <m:t>pf</m:t>
            </m:r>
          </m:e>
        </m:rad>
      </m:oMath>
      <w:r>
        <w:t xml:space="preserve"> as the set of effort levels that are incentive compatible. To maximize profits, the sel</w:t>
      </w:r>
      <w:r>
        <w:t xml:space="preserve">f-interested principal sets a contract </w:t>
      </w:r>
      <m:oMath>
        <m:d>
          <m:dPr>
            <m:ctrlPr>
              <w:rPr>
                <w:rFonts w:ascii="Cambria Math" w:hAnsi="Cambria Math"/>
              </w:rPr>
            </m:ctrlPr>
          </m:dP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oMath>
      <w:r>
        <w:t xml:space="preserve"> that maximizes expected profits</w:t>
      </w:r>
    </w:p>
    <w:p w:rsidR="001F4DAE" w:rsidRDefault="00FA169C">
      <w:pPr>
        <w:pStyle w:val="BodyText"/>
        <w:jc w:val="both"/>
      </w:pPr>
      <m:oMathPara>
        <m:oMath>
          <m:r>
            <w:rPr>
              <w:rFonts w:ascii="Cambria Math" w:hAnsi="Cambria Math"/>
            </w:rPr>
            <m:t>E</m:t>
          </m:r>
          <m:d>
            <m:dPr>
              <m:ctrlPr>
                <w:rPr>
                  <w:rFonts w:ascii="Cambria Math" w:hAnsi="Cambria Math"/>
                </w:rPr>
              </m:ctrlPr>
            </m:dPr>
            <m:e>
              <m:r>
                <w:rPr>
                  <w:rFonts w:ascii="Cambria Math" w:hAnsi="Cambria Math"/>
                </w:rPr>
                <m:t>π</m:t>
              </m:r>
            </m:e>
          </m:d>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p</m:t>
              </m:r>
            </m:e>
          </m:d>
          <m:d>
            <m:dPr>
              <m:ctrlPr>
                <w:rPr>
                  <w:rFonts w:ascii="Cambria Math" w:hAnsi="Cambria Math"/>
                </w:rPr>
              </m:ctrlPr>
            </m:dPr>
            <m:e>
              <m:r>
                <w:rPr>
                  <w:rFonts w:ascii="Cambria Math" w:hAnsi="Cambria Math"/>
                </w:rPr>
                <m:t>e</m:t>
              </m:r>
              <m:r>
                <w:rPr>
                  <w:rFonts w:ascii="Cambria Math" w:hAnsi="Cambria Math"/>
                </w:rPr>
                <m:t>-</m:t>
              </m:r>
              <m:r>
                <w:rPr>
                  <w:rFonts w:ascii="Cambria Math" w:hAnsi="Cambria Math"/>
                </w:rPr>
                <m:t>w</m:t>
              </m:r>
              <m:r>
                <w:rPr>
                  <w:rFonts w:ascii="Cambria Math" w:hAnsi="Cambria Math"/>
                </w:rPr>
                <m:t>-</m:t>
              </m:r>
              <m:r>
                <w:rPr>
                  <w:rFonts w:ascii="Cambria Math" w:hAnsi="Cambria Math"/>
                </w:rPr>
                <m:t>k</m:t>
              </m:r>
            </m:e>
          </m:d>
          <m: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e</m:t>
              </m:r>
              <m:r>
                <w:rPr>
                  <w:rFonts w:ascii="Cambria Math" w:hAnsi="Cambria Math"/>
                </w:rPr>
                <m:t>-</m:t>
              </m:r>
              <m:r>
                <w:rPr>
                  <w:rFonts w:ascii="Cambria Math" w:hAnsi="Cambria Math"/>
                </w:rPr>
                <m:t>w</m:t>
              </m:r>
              <m:r>
                <w:rPr>
                  <w:rFonts w:ascii="Cambria Math" w:hAnsi="Cambria Math"/>
                </w:rPr>
                <m:t>-</m:t>
              </m:r>
              <m:r>
                <w:rPr>
                  <w:rFonts w:ascii="Cambria Math" w:hAnsi="Cambria Math"/>
                </w:rPr>
                <m:t>k</m:t>
              </m:r>
              <m:r>
                <w:rPr>
                  <w:rFonts w:ascii="Cambria Math" w:hAnsi="Cambria Math"/>
                </w:rPr>
                <m:t>+</m:t>
              </m:r>
              <m:r>
                <w:rPr>
                  <w:rFonts w:ascii="Cambria Math" w:hAnsi="Cambria Math"/>
                </w:rPr>
                <m:t>df</m:t>
              </m:r>
            </m:e>
          </m:d>
          <m:r>
            <w:rPr>
              <w:rFonts w:ascii="Cambria Math" w:hAnsi="Cambria Math"/>
            </w:rPr>
            <m:t>=</m:t>
          </m:r>
          <m:r>
            <w:rPr>
              <w:rFonts w:ascii="Cambria Math" w:hAnsi="Cambria Math"/>
            </w:rPr>
            <m:t>e</m:t>
          </m:r>
          <m:r>
            <w:rPr>
              <w:rFonts w:ascii="Cambria Math" w:hAnsi="Cambria Math"/>
            </w:rPr>
            <m:t>-</m:t>
          </m:r>
          <m:r>
            <w:rPr>
              <w:rFonts w:ascii="Cambria Math" w:hAnsi="Cambria Math"/>
            </w:rPr>
            <m:t>w</m:t>
          </m:r>
          <m:r>
            <w:rPr>
              <w:rFonts w:ascii="Cambria Math" w:hAnsi="Cambria Math"/>
            </w:rPr>
            <m:t>-</m:t>
          </m:r>
          <m:r>
            <w:rPr>
              <w:rFonts w:ascii="Cambria Math" w:hAnsi="Cambria Math"/>
            </w:rPr>
            <m:t>k</m:t>
          </m:r>
          <m:r>
            <w:rPr>
              <w:rFonts w:ascii="Cambria Math" w:hAnsi="Cambria Math"/>
            </w:rPr>
            <m:t>+</m:t>
          </m:r>
          <m:r>
            <w:rPr>
              <w:rFonts w:ascii="Cambria Math" w:hAnsi="Cambria Math"/>
            </w:rPr>
            <m:t>pdf</m:t>
          </m:r>
        </m:oMath>
      </m:oMathPara>
    </w:p>
    <w:p w:rsidR="001F4DAE" w:rsidRDefault="00FA169C">
      <w:pPr>
        <w:pStyle w:val="BodyText"/>
        <w:jc w:val="both"/>
      </w:pPr>
      <w:r>
        <w:t xml:space="preserve">where </w:t>
      </w:r>
      <m:oMath>
        <m:r>
          <w:rPr>
            <w:rFonts w:ascii="Cambria Math" w:hAnsi="Cambria Math"/>
          </w:rPr>
          <m:t>d</m:t>
        </m:r>
      </m:oMath>
      <w:r>
        <w:t xml:space="preserve"> is a binary variable dependent on whether </w:t>
      </w:r>
      <m:oMath>
        <m:r>
          <w:rPr>
            <w:rFonts w:ascii="Cambria Math" w:hAnsi="Cambria Math"/>
          </w:rPr>
          <m:t>e</m:t>
        </m:r>
        <m:r>
          <w:rPr>
            <w:rFonts w:ascii="Cambria Math" w:hAnsi="Cambria Math"/>
          </w:rPr>
          <m:t>&lt;</m:t>
        </m:r>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If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satisfies the constraint that </w:t>
      </w:r>
      <m:oMath>
        <m:sSub>
          <m:sSubPr>
            <m:ctrlPr>
              <w:rPr>
                <w:rFonts w:ascii="Cambria Math" w:hAnsi="Cambria Math"/>
              </w:rPr>
            </m:ctrlPr>
          </m:sSubPr>
          <m:e>
            <m:r>
              <w:rPr>
                <w:rFonts w:ascii="Cambria Math" w:hAnsi="Cambria Math"/>
              </w:rPr>
              <m:t>e</m:t>
            </m:r>
          </m:e>
          <m:sub>
            <m:r>
              <w:rPr>
                <w:rFonts w:ascii="Cambria Math" w:hAnsi="Cambria Math"/>
              </w:rPr>
              <m:t>c</m:t>
            </m:r>
          </m:sub>
        </m:sSub>
        <m:r>
          <w:rPr>
            <w:rFonts w:ascii="Cambria Math" w:hAnsi="Cambria Math"/>
          </w:rPr>
          <m:t>≤</m:t>
        </m:r>
        <m:rad>
          <m:radPr>
            <m:degHide m:val="1"/>
            <m:ctrlPr>
              <w:rPr>
                <w:rFonts w:ascii="Cambria Math" w:hAnsi="Cambria Math"/>
              </w:rPr>
            </m:ctrlPr>
          </m:radPr>
          <m:deg/>
          <m:e>
            <m:r>
              <w:rPr>
                <w:rFonts w:ascii="Cambria Math" w:hAnsi="Cambria Math"/>
              </w:rPr>
              <m:t>2</m:t>
            </m:r>
            <m:r>
              <w:rPr>
                <w:rFonts w:ascii="Cambria Math" w:hAnsi="Cambria Math"/>
              </w:rPr>
              <m:t>pf</m:t>
            </m:r>
          </m:e>
        </m:rad>
      </m:oMath>
      <w:r>
        <w:t xml:space="preserve"> and the constraint</w:t>
      </w:r>
      <w:r>
        <w:t xml:space="preserve"> that </w:t>
      </w:r>
      <m:oMath>
        <m:r>
          <w:rPr>
            <w:rFonts w:ascii="Cambria Math" w:hAnsi="Cambria Math"/>
          </w:rPr>
          <m:t>w</m:t>
        </m:r>
        <m:r>
          <w:rPr>
            <w:rFonts w:ascii="Cambria Math" w:hAnsi="Cambria Math"/>
          </w:rPr>
          <m:t>&gt;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then </w:t>
      </w:r>
      <m:oMath>
        <m:r>
          <w:rPr>
            <w:rFonts w:ascii="Cambria Math" w:hAnsi="Cambria Math"/>
          </w:rPr>
          <m:t>d</m:t>
        </m:r>
        <m:r>
          <w:rPr>
            <w:rFonts w:ascii="Cambria Math" w:hAnsi="Cambria Math"/>
          </w:rPr>
          <m:t>=0</m:t>
        </m:r>
      </m:oMath>
      <w:r>
        <w:t>. In light of these constraints we have that in an incentive contract in which the principal intends to maximize his profits the optimal contracted effort level is</w:t>
      </w:r>
    </w:p>
    <w:p w:rsidR="001F4DAE" w:rsidRDefault="00FA169C">
      <w:pPr>
        <w:pStyle w:val="BodyText"/>
        <w:jc w:val="both"/>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min</m:t>
          </m:r>
          <m:r>
            <w:rPr>
              <w:rFonts w:ascii="Cambria Math" w:hAnsi="Cambria Math"/>
            </w:rPr>
            <m:t>{1,</m:t>
          </m:r>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m:t>
          </m:r>
        </m:oMath>
      </m:oMathPara>
    </w:p>
    <w:p w:rsidR="001F4DAE" w:rsidRDefault="00FA169C">
      <w:pPr>
        <w:pStyle w:val="BodyText"/>
        <w:jc w:val="both"/>
      </w:pPr>
      <w:r>
        <w:lastRenderedPageBreak/>
        <w:t xml:space="preserve">Recall that </w:t>
      </w:r>
      <m:oMath>
        <m:r>
          <w:rPr>
            <w:rFonts w:ascii="Cambria Math" w:hAnsi="Cambria Math"/>
          </w:rPr>
          <m:t>e</m:t>
        </m:r>
        <m:r>
          <w:rPr>
            <w:rFonts w:ascii="Cambria Math" w:hAnsi="Cambria Math"/>
          </w:rPr>
          <m:t>∈</m:t>
        </m:r>
        <m:d>
          <m:dPr>
            <m:begChr m:val="["/>
            <m:endChr m:val="]"/>
            <m:ctrlPr>
              <w:rPr>
                <w:rFonts w:ascii="Cambria Math" w:hAnsi="Cambria Math"/>
              </w:rPr>
            </m:ctrlPr>
          </m:dPr>
          <m:e>
            <m:r>
              <w:rPr>
                <w:rFonts w:ascii="Cambria Math" w:hAnsi="Cambria Math"/>
              </w:rPr>
              <m:t>0,1</m:t>
            </m:r>
          </m:e>
        </m:d>
      </m:oMath>
      <w:r>
        <w:t>. Equation tells us the princ</w:t>
      </w:r>
      <w:r>
        <w:t xml:space="preserve">ipal will choose to contract the minimum effort level that is also incentive compatible for the agent, which will depend on whether </w:t>
      </w:r>
      <m:oMath>
        <m:rad>
          <m:radPr>
            <m:degHide m:val="1"/>
            <m:ctrlPr>
              <w:rPr>
                <w:rFonts w:ascii="Cambria Math" w:hAnsi="Cambria Math"/>
              </w:rPr>
            </m:ctrlPr>
          </m:radPr>
          <m:deg/>
          <m:e>
            <m:r>
              <w:rPr>
                <w:rFonts w:ascii="Cambria Math" w:hAnsi="Cambria Math"/>
              </w:rPr>
              <m:t>2</m:t>
            </m:r>
            <m:r>
              <w:rPr>
                <w:rFonts w:ascii="Cambria Math" w:hAnsi="Cambria Math"/>
              </w:rPr>
              <m:t>pf</m:t>
            </m:r>
          </m:e>
        </m:rad>
      </m:oMath>
      <w:r>
        <w:t xml:space="preserve"> is higher or lower than 1.</w:t>
      </w:r>
    </w:p>
    <w:p w:rsidR="001F4DAE" w:rsidRDefault="00FA169C">
      <w:pPr>
        <w:numPr>
          <w:ilvl w:val="0"/>
          <w:numId w:val="4"/>
        </w:numPr>
        <w:jc w:val="both"/>
      </w:pPr>
      <w:r>
        <w:t xml:space="preserve">If </w:t>
      </w:r>
      <m:oMath>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≥1</m:t>
        </m:r>
      </m:oMath>
      <w:r>
        <w:t xml:space="preserve"> then we have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xml:space="preserve"> and </w:t>
      </w:r>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In this case the expected profit of the firm is g</w:t>
      </w:r>
      <w:r>
        <w:t xml:space="preserve">iven by </w:t>
      </w:r>
      <m:oMath>
        <m:r>
          <w:rPr>
            <w:rFonts w:ascii="Cambria Math" w:hAnsi="Cambria Math"/>
          </w:rPr>
          <m:t>E</m:t>
        </m:r>
        <m:d>
          <m:dPr>
            <m:ctrlPr>
              <w:rPr>
                <w:rFonts w:ascii="Cambria Math" w:hAnsi="Cambria Math"/>
              </w:rPr>
            </m:ctrlPr>
          </m:dPr>
          <m:e>
            <m:r>
              <w:rPr>
                <w:rFonts w:ascii="Cambria Math" w:hAnsi="Cambria Math"/>
              </w:rPr>
              <m:t>π</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k</m:t>
        </m:r>
      </m:oMath>
      <w:r>
        <w:t>.</w:t>
      </w:r>
    </w:p>
    <w:p w:rsidR="001F4DAE" w:rsidRDefault="00FA169C">
      <w:pPr>
        <w:numPr>
          <w:ilvl w:val="0"/>
          <w:numId w:val="4"/>
        </w:numPr>
        <w:jc w:val="both"/>
      </w:pPr>
      <w:r>
        <w:t xml:space="preserve">If </w:t>
      </w:r>
      <m:oMath>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&lt;1</m:t>
        </m:r>
      </m:oMath>
      <w:r>
        <w:t xml:space="preserve"> then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2</m:t>
            </m:r>
            <m:r>
              <w:rPr>
                <w:rFonts w:ascii="Cambria Math" w:hAnsi="Cambria Math"/>
              </w:rPr>
              <m:t>pf</m:t>
            </m:r>
          </m:e>
        </m:rad>
      </m:oMath>
      <w:r>
        <w:t xml:space="preserve">. Therefore </w:t>
      </w:r>
      <m:oMath>
        <m:r>
          <w:rPr>
            <w:rFonts w:ascii="Cambria Math" w:hAnsi="Cambria Math"/>
          </w:rPr>
          <m:t>w</m:t>
        </m:r>
        <m:r>
          <w:rPr>
            <w:rFonts w:ascii="Cambria Math" w:hAnsi="Cambria Math"/>
          </w:rPr>
          <m:t>=</m:t>
        </m:r>
        <m:r>
          <w:rPr>
            <w:rFonts w:ascii="Cambria Math" w:hAnsi="Cambria Math"/>
          </w:rPr>
          <m:t>pf</m:t>
        </m:r>
      </m:oMath>
      <w:r>
        <w:t xml:space="preserve"> and </w:t>
      </w:r>
      <m:oMath>
        <m:r>
          <w:rPr>
            <w:rFonts w:ascii="Cambria Math" w:hAnsi="Cambria Math"/>
          </w:rPr>
          <m:t>E</m:t>
        </m:r>
        <m:d>
          <m:dPr>
            <m:ctrlPr>
              <w:rPr>
                <w:rFonts w:ascii="Cambria Math" w:hAnsi="Cambria Math"/>
              </w:rPr>
            </m:ctrlPr>
          </m:dPr>
          <m:e>
            <m:r>
              <w:rPr>
                <w:rFonts w:ascii="Cambria Math" w:hAnsi="Cambria Math"/>
              </w:rPr>
              <m:t>π</m:t>
            </m:r>
          </m:e>
        </m:d>
        <m:r>
          <w:rPr>
            <w:rFonts w:ascii="Cambria Math" w:hAnsi="Cambria Math"/>
          </w:rPr>
          <m:t>=</m:t>
        </m:r>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m:t>
        </m:r>
        <m:r>
          <w:rPr>
            <w:rFonts w:ascii="Cambria Math" w:hAnsi="Cambria Math"/>
          </w:rPr>
          <m:t>pf</m:t>
        </m:r>
        <m:r>
          <w:rPr>
            <w:rFonts w:ascii="Cambria Math" w:hAnsi="Cambria Math"/>
          </w:rPr>
          <m:t>-</m:t>
        </m:r>
        <m:r>
          <w:rPr>
            <w:rFonts w:ascii="Cambria Math" w:hAnsi="Cambria Math"/>
          </w:rPr>
          <m:t>k</m:t>
        </m:r>
      </m:oMath>
      <w:r>
        <w:t>.</w:t>
      </w:r>
    </w:p>
    <w:p w:rsidR="001F4DAE" w:rsidRDefault="00FA169C">
      <w:pPr>
        <w:pStyle w:val="FirstParagraph"/>
        <w:jc w:val="both"/>
      </w:pPr>
      <w:r>
        <w:t>We now have the expected profits of the incentive contract which we can compare with the expected profit from a bonus contract offered by an other-regarding principal</w:t>
      </w:r>
      <w:r>
        <w:t xml:space="preserve">. The bonus contract is as described previously. In Stage 3, given that the experimental evidence suggests that </w:t>
      </w:r>
      <m:oMath>
        <m:r>
          <w:rPr>
            <w:rFonts w:ascii="Cambria Math" w:hAnsi="Cambria Math"/>
          </w:rPr>
          <m:t>e</m:t>
        </m:r>
        <m: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the principal awards a bonus </w:t>
      </w:r>
      <m:oMath>
        <m:r>
          <w:rPr>
            <w:rFonts w:ascii="Cambria Math" w:hAnsi="Cambria Math"/>
          </w:rPr>
          <m:t>b</m:t>
        </m:r>
      </m:oMath>
      <w:r>
        <w:t>. Because he has other-regarding preferences, this bonus will be such that the payoffs of both parties a</w:t>
      </w:r>
      <w:r>
        <w:t>re equaled.</w:t>
      </w:r>
    </w:p>
    <w:p w:rsidR="001F4DAE" w:rsidRDefault="00FA169C">
      <w:pPr>
        <w:pStyle w:val="BodyText"/>
        <w:jc w:val="both"/>
      </w:pPr>
      <w:r>
        <w:t>Thus, we have</w:t>
      </w:r>
    </w:p>
    <w:p w:rsidR="001F4DAE" w:rsidRDefault="00FA169C">
      <w:pPr>
        <w:pStyle w:val="BodyText"/>
        <w:jc w:val="both"/>
      </w:pPr>
      <m:oMathPara>
        <m:oMath>
          <m:r>
            <w:rPr>
              <w:rFonts w:ascii="Cambria Math" w:hAnsi="Cambria Math"/>
            </w:rPr>
            <m:t>e</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2</m:t>
              </m:r>
            </m:sup>
          </m:sSup>
        </m:oMath>
      </m:oMathPara>
    </w:p>
    <w:p w:rsidR="001F4DAE" w:rsidRDefault="00FA169C">
      <w:pPr>
        <w:pStyle w:val="BodyText"/>
        <w:jc w:val="both"/>
      </w:pPr>
      <w:r>
        <w:t xml:space="preserve">which we solve for </w:t>
      </w:r>
      <m:oMath>
        <m:r>
          <w:rPr>
            <w:rFonts w:ascii="Cambria Math" w:hAnsi="Cambria Math"/>
          </w:rPr>
          <m:t>b</m:t>
        </m:r>
      </m:oMath>
      <w:r>
        <w:t xml:space="preserve"> to get</w:t>
      </w:r>
    </w:p>
    <w:p w:rsidR="001F4DAE" w:rsidRDefault="00FA169C">
      <w:pPr>
        <w:pStyle w:val="BodyText"/>
        <w:jc w:val="both"/>
      </w:pPr>
      <m:oMathPara>
        <m:oMath>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e</m:t>
          </m:r>
          <m:r>
            <w:rPr>
              <w:rFonts w:ascii="Cambria Math" w:hAnsi="Cambria Math"/>
            </w:rPr>
            <m:t>-</m:t>
          </m:r>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e</m:t>
              </m:r>
              <m:r>
                <w:rPr>
                  <w:rFonts w:ascii="Cambria Math" w:hAnsi="Cambria Math"/>
                </w:rPr>
                <m:t>,</m:t>
              </m:r>
              <m:r>
                <w:rPr>
                  <w:rFonts w:ascii="Cambria Math" w:hAnsi="Cambria Math"/>
                </w:rPr>
                <m:t>w</m:t>
              </m:r>
            </m:e>
          </m:d>
        </m:oMath>
      </m:oMathPara>
    </w:p>
    <w:p w:rsidR="001F4DAE" w:rsidRDefault="00FA169C">
      <w:pPr>
        <w:pStyle w:val="BodyText"/>
        <w:jc w:val="both"/>
      </w:pPr>
      <w:r>
        <w:t>The other-regarding agent will chose an optimal effort choice such that his monetary payoff is equal to that of the principal, that is,</w:t>
      </w:r>
    </w:p>
    <w:p w:rsidR="001F4DAE" w:rsidRDefault="00FA169C">
      <w:pPr>
        <w:pStyle w:val="BodyText"/>
        <w:jc w:val="both"/>
      </w:pPr>
      <m:oMathPara>
        <m:oMath>
          <m:r>
            <w:rPr>
              <w:rFonts w:ascii="Cambria Math" w:hAnsi="Cambria Math"/>
            </w:rPr>
            <m:t>w</m:t>
          </m:r>
          <m: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e</m:t>
              </m:r>
              <m:r>
                <w:rPr>
                  <w:rFonts w:ascii="Cambria Math" w:hAnsi="Cambria Math"/>
                </w:rPr>
                <m:t>,</m:t>
              </m:r>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r>
            <w:rPr>
              <w:rFonts w:ascii="Cambria Math" w:hAnsi="Cambria Math"/>
            </w:rPr>
            <m:t>w</m:t>
          </m:r>
          <m: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e</m:t>
              </m:r>
              <m:r>
                <w:rPr>
                  <w:rFonts w:ascii="Cambria Math" w:hAnsi="Cambria Math"/>
                </w:rPr>
                <m:t>,</m:t>
              </m:r>
              <m:r>
                <w:rPr>
                  <w:rFonts w:ascii="Cambria Math" w:hAnsi="Cambria Math"/>
                </w:rPr>
                <m:t>w</m:t>
              </m:r>
            </m:e>
          </m:d>
        </m:oMath>
      </m:oMathPara>
    </w:p>
    <w:p w:rsidR="001F4DAE" w:rsidRDefault="00FA169C">
      <w:pPr>
        <w:pStyle w:val="BodyText"/>
        <w:jc w:val="both"/>
      </w:pPr>
      <w:r>
        <w:lastRenderedPageBreak/>
        <w:t xml:space="preserve">Because the bonus is chosen so that the payoffs are equal, then the previous equation is satisfied for any value of </w:t>
      </w:r>
      <m:oMath>
        <m:r>
          <w:rPr>
            <w:rFonts w:ascii="Cambria Math" w:hAnsi="Cambria Math"/>
          </w:rPr>
          <m:t>e</m:t>
        </m:r>
      </m:oMath>
      <w:r>
        <w:t xml:space="preserve">. Taking the first derivative of in order to </w:t>
      </w:r>
      <m:oMath>
        <m:r>
          <w:rPr>
            <w:rFonts w:ascii="Cambria Math" w:hAnsi="Cambria Math"/>
          </w:rPr>
          <m:t>e</m:t>
        </m:r>
      </m:oMath>
      <w:r>
        <w:t xml:space="preserve"> gets us the result that the payoff is maximized at </w:t>
      </w:r>
      <m:oMath>
        <m:sSubSup>
          <m:sSubSupPr>
            <m:ctrlPr>
              <w:rPr>
                <w:rFonts w:ascii="Cambria Math" w:hAnsi="Cambria Math"/>
              </w:rPr>
            </m:ctrlPr>
          </m:sSubSupPr>
          <m:e>
            <m:r>
              <w:rPr>
                <w:rFonts w:ascii="Cambria Math" w:hAnsi="Cambria Math"/>
              </w:rPr>
              <m:t>e</m:t>
            </m:r>
          </m:e>
          <m:sub>
            <m:r>
              <w:rPr>
                <w:rFonts w:ascii="Cambria Math" w:hAnsi="Cambria Math"/>
              </w:rPr>
              <m:t>F</m:t>
            </m:r>
          </m:sub>
          <m:sup>
            <m:r>
              <w:rPr>
                <w:rFonts w:ascii="Cambria Math" w:hAnsi="Cambria Math"/>
              </w:rPr>
              <m:t>b</m:t>
            </m:r>
          </m:sup>
        </m:sSubSup>
        <m:r>
          <w:rPr>
            <w:rFonts w:ascii="Cambria Math" w:hAnsi="Cambria Math"/>
          </w:rPr>
          <m:t>=1</m:t>
        </m:r>
      </m:oMath>
      <w:r>
        <w:t>.</w:t>
      </w:r>
    </w:p>
    <w:p w:rsidR="001F4DAE" w:rsidRDefault="00FA169C">
      <w:pPr>
        <w:pStyle w:val="BodyText"/>
        <w:jc w:val="both"/>
      </w:pPr>
      <w:r>
        <w:t xml:space="preserve">The other-regarding principal’s expected payoff is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B</m:t>
                </m:r>
              </m:sub>
            </m:sSub>
          </m:e>
        </m:d>
        <m:r>
          <w:rPr>
            <w:rFonts w:ascii="Cambria Math" w:hAnsi="Cambria Math"/>
          </w:rPr>
          <m:t>=</m:t>
        </m:r>
        <m:r>
          <w:rPr>
            <w:rFonts w:ascii="Cambria Math" w:hAnsi="Cambria Math"/>
          </w:rPr>
          <m:t>e</m:t>
        </m:r>
        <m:r>
          <w:rPr>
            <w:rFonts w:ascii="Cambria Math" w:hAnsi="Cambria Math"/>
          </w:rPr>
          <m:t>-</m:t>
        </m:r>
        <m:r>
          <w:rPr>
            <w:rFonts w:ascii="Cambria Math" w:hAnsi="Cambria Math"/>
          </w:rPr>
          <m:t>w</m:t>
        </m:r>
        <m: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e</m:t>
            </m:r>
            <m:r>
              <w:rPr>
                <w:rFonts w:ascii="Cambria Math" w:hAnsi="Cambria Math"/>
              </w:rPr>
              <m:t>,</m:t>
            </m:r>
            <m:r>
              <w:rPr>
                <w:rFonts w:ascii="Cambria Math" w:hAnsi="Cambria Math"/>
              </w:rPr>
              <m:t>w</m:t>
            </m:r>
          </m:e>
        </m:d>
      </m:oMath>
      <w:r>
        <w:t xml:space="preserve">, which when </w:t>
      </w:r>
      <m:oMath>
        <m:r>
          <w:rPr>
            <w:rFonts w:ascii="Cambria Math" w:hAnsi="Cambria Math"/>
          </w:rPr>
          <m:t>e</m:t>
        </m:r>
        <m:r>
          <w:rPr>
            <w:rFonts w:ascii="Cambria Math" w:hAnsi="Cambria Math"/>
          </w:rPr>
          <m:t>=1</m:t>
        </m:r>
      </m:oMath>
      <w:r>
        <w:t xml:space="preserve"> yields</w:t>
      </w:r>
    </w:p>
    <w:p w:rsidR="001F4DAE" w:rsidRDefault="00FA169C">
      <w:pPr>
        <w:pStyle w:val="BodyText"/>
        <w:jc w:val="both"/>
      </w:pPr>
      <m:oMathPara>
        <m:oMath>
          <m:eqArr>
            <m:eqArrPr>
              <m:ctrlPr>
                <w:rPr>
                  <w:rFonts w:ascii="Cambria Math" w:hAnsi="Cambria Math"/>
                </w:rPr>
              </m:ctrlPr>
            </m:eqArrPr>
            <m:e>
              <m:m>
                <m:mPr>
                  <m:mcs>
                    <m:mc>
                      <m:mcPr>
                        <m:count m:val="1"/>
                        <m:mcJc m:val="center"/>
                      </m:mcPr>
                    </m:mc>
                  </m:mcs>
                  <m:ctrlPr>
                    <w:rPr>
                      <w:rFonts w:ascii="Cambria Math" w:hAnsi="Cambria Math"/>
                    </w:rPr>
                  </m:ctrlPr>
                </m:mPr>
                <m:m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B</m:t>
                            </m:r>
                          </m:sub>
                        </m:sSub>
                      </m:e>
                    </m:d>
                    <m:r>
                      <w:rPr>
                        <w:rFonts w:ascii="Cambria Math" w:hAnsi="Cambria Math"/>
                      </w:rPr>
                      <m:t>=</m:t>
                    </m:r>
                    <m:r>
                      <w:rPr>
                        <w:rFonts w:ascii="Cambria Math" w:hAnsi="Cambria Math"/>
                      </w:rPr>
                      <m:t>e</m:t>
                    </m:r>
                    <m:r>
                      <w:rPr>
                        <w:rFonts w:ascii="Cambria Math" w:hAnsi="Cambria Math"/>
                      </w:rPr>
                      <m:t>-</m:t>
                    </m:r>
                    <m:r>
                      <w:rPr>
                        <w:rFonts w:ascii="Cambria Math" w:hAnsi="Cambria Math"/>
                      </w:rPr>
                      <m:t>w</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e</m:t>
                        </m:r>
                        <m:r>
                          <w:rPr>
                            <w:rFonts w:ascii="Cambria Math" w:hAnsi="Cambria Math"/>
                          </w:rPr>
                          <m:t>-</m:t>
                        </m:r>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e</m:t>
                            </m:r>
                          </m:e>
                          <m:sup>
                            <m:r>
                              <w:rPr>
                                <w:rFonts w:ascii="Cambria Math" w:hAnsi="Cambria Math"/>
                              </w:rPr>
                              <m:t>2</m:t>
                            </m:r>
                          </m:sup>
                        </m:sSup>
                      </m:e>
                    </m:d>
                  </m:e>
                </m:mr>
                <m:mr>
                  <m:e>
                    <m:r>
                      <m:rPr>
                        <m:lit/>
                        <m:nor/>
                      </m:rPr>
                      <w:rPr>
                        <w:rFonts w:ascii="Cambria Math" w:hAnsi="Cambria Math"/>
                      </w:rPr>
                      <m:t>=</m:t>
                    </m:r>
                    <m:r>
                      <w:rPr>
                        <w:rFonts w:ascii="Cambria Math" w:hAnsi="Cambria Math"/>
                      </w:rPr>
                      <m:t>1-</m:t>
                    </m:r>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mr>
                <m:mr>
                  <m:e>
                    <m:r>
                      <m:rPr>
                        <m:lit/>
                        <m:nor/>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mr>
              </m:m>
            </m:e>
          </m:eqArr>
        </m:oMath>
      </m:oMathPara>
    </w:p>
    <w:p w:rsidR="001F4DAE" w:rsidRDefault="00FA169C">
      <w:pPr>
        <w:pStyle w:val="BodyText"/>
        <w:jc w:val="both"/>
      </w:pPr>
      <w:r>
        <w:t>So given these options, which contract should the principal prefer? Under the self-regarding assumption we would exp</w:t>
      </w:r>
      <w:r>
        <w:t>ect the incentive contract to dominate over all others. However, taking into account that principals and agents might have other-regarding preferences, we conclude that the answer depends on a number of parameters.</w:t>
      </w:r>
    </w:p>
    <w:p w:rsidR="001F4DAE" w:rsidRDefault="00FA169C">
      <w:pPr>
        <w:pStyle w:val="BodyText"/>
        <w:jc w:val="both"/>
      </w:pPr>
      <w:r>
        <w:t xml:space="preserve">Suppose that </w:t>
      </w:r>
      <m:oMath>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&gt;1</m:t>
        </m:r>
      </m:oMath>
      <w:r>
        <w:t xml:space="preserve">, in which case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k</m:t>
        </m:r>
      </m:oMath>
      <w:r>
        <w:t xml:space="preserve"> as shown earlier. For the incentive contract to dominate over the bonus contract it would be needed that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sub>
            </m:sSub>
          </m:e>
        </m:d>
        <m:r>
          <w:rPr>
            <w:rFonts w:ascii="Cambria Math" w:hAnsi="Cambria Math"/>
          </w:rPr>
          <m:t>&gt;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B</m:t>
                </m:r>
              </m:sub>
            </m:sSub>
          </m:e>
        </m:d>
      </m:oMath>
      <w:r>
        <w:t xml:space="preserve">, that is,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k</m:t>
        </m:r>
        <m:r>
          <w:rPr>
            <w:rFonts w:ascii="Cambria Math" w:hAnsi="Cambria Math"/>
          </w:rPr>
          <m:t>&gt;</m:t>
        </m:r>
        <m:f>
          <m:fPr>
            <m:ctrlPr>
              <w:rPr>
                <w:rFonts w:ascii="Cambria Math" w:hAnsi="Cambria Math"/>
              </w:rPr>
            </m:ctrlPr>
          </m:fPr>
          <m:num>
            <m:r>
              <w:rPr>
                <w:rFonts w:ascii="Cambria Math" w:hAnsi="Cambria Math"/>
              </w:rPr>
              <m:t>1</m:t>
            </m:r>
          </m:num>
          <m:den>
            <m:r>
              <w:rPr>
                <w:rFonts w:ascii="Cambria Math" w:hAnsi="Cambria Math"/>
              </w:rPr>
              <m:t>4</m:t>
            </m:r>
          </m:den>
        </m:f>
      </m:oMath>
      <w:r>
        <w:t xml:space="preserve">. This is only true if </w:t>
      </w:r>
      <m:oMath>
        <m:r>
          <w:rPr>
            <w:rFonts w:ascii="Cambria Math" w:hAnsi="Cambria Math"/>
          </w:rPr>
          <m:t>k</m:t>
        </m:r>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4</m:t>
            </m:r>
          </m:den>
        </m:f>
      </m:oMath>
      <w:r>
        <w:t xml:space="preserve">. For the case where </w:t>
      </w:r>
      <m:oMath>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&lt;1</m:t>
        </m:r>
      </m:oMath>
      <w:r>
        <w:t xml:space="preserve"> we have that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sub>
            </m:sSub>
          </m:e>
        </m:d>
        <m:r>
          <w:rPr>
            <w:rFonts w:ascii="Cambria Math" w:hAnsi="Cambria Math"/>
          </w:rPr>
          <m:t>=</m:t>
        </m:r>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m:t>
        </m:r>
        <m:r>
          <w:rPr>
            <w:rFonts w:ascii="Cambria Math" w:hAnsi="Cambria Math"/>
          </w:rPr>
          <m:t>pf</m:t>
        </m:r>
        <m:r>
          <w:rPr>
            <w:rFonts w:ascii="Cambria Math" w:hAnsi="Cambria Math"/>
          </w:rPr>
          <m:t>-</m:t>
        </m:r>
        <m:r>
          <w:rPr>
            <w:rFonts w:ascii="Cambria Math" w:hAnsi="Cambria Math"/>
          </w:rPr>
          <m:t>k</m:t>
        </m:r>
      </m:oMath>
      <w:r>
        <w:t>, which means that th</w:t>
      </w:r>
      <w:r>
        <w:t xml:space="preserve">e incentive contract dominates over the bonus contract only if </w:t>
      </w:r>
      <m:oMath>
        <m:rad>
          <m:radPr>
            <m:degHide m:val="1"/>
            <m:ctrlPr>
              <w:rPr>
                <w:rFonts w:ascii="Cambria Math" w:hAnsi="Cambria Math"/>
              </w:rPr>
            </m:ctrlPr>
          </m:radPr>
          <m:deg/>
          <m:e>
            <m:r>
              <w:rPr>
                <w:rFonts w:ascii="Cambria Math" w:hAnsi="Cambria Math"/>
              </w:rPr>
              <m:t>2</m:t>
            </m:r>
            <m:r>
              <w:rPr>
                <w:rFonts w:ascii="Cambria Math" w:hAnsi="Cambria Math"/>
              </w:rPr>
              <m:t>pf</m:t>
            </m:r>
          </m:e>
        </m:rad>
        <m:r>
          <w:rPr>
            <w:rFonts w:ascii="Cambria Math" w:hAnsi="Cambria Math"/>
          </w:rPr>
          <m:t>-</m:t>
        </m:r>
        <m:r>
          <w:rPr>
            <w:rFonts w:ascii="Cambria Math" w:hAnsi="Cambria Math"/>
          </w:rPr>
          <m:t>pdf</m:t>
        </m:r>
        <m:r>
          <w:rPr>
            <w:rFonts w:ascii="Cambria Math" w:hAnsi="Cambria Math"/>
          </w:rPr>
          <m:t>-</m:t>
        </m:r>
        <m:r>
          <w:rPr>
            <w:rFonts w:ascii="Cambria Math" w:hAnsi="Cambria Math"/>
          </w:rPr>
          <m:t>k</m:t>
        </m:r>
        <m:r>
          <w:rPr>
            <w:rFonts w:ascii="Cambria Math" w:hAnsi="Cambria Math"/>
          </w:rPr>
          <m:t>&gt;</m:t>
        </m:r>
        <m:f>
          <m:fPr>
            <m:ctrlPr>
              <w:rPr>
                <w:rFonts w:ascii="Cambria Math" w:hAnsi="Cambria Math"/>
              </w:rPr>
            </m:ctrlPr>
          </m:fPr>
          <m:num>
            <m:r>
              <w:rPr>
                <w:rFonts w:ascii="Cambria Math" w:hAnsi="Cambria Math"/>
              </w:rPr>
              <m:t>1</m:t>
            </m:r>
          </m:num>
          <m:den>
            <m:r>
              <w:rPr>
                <w:rFonts w:ascii="Cambria Math" w:hAnsi="Cambria Math"/>
              </w:rPr>
              <m:t>4</m:t>
            </m:r>
          </m:den>
        </m:f>
      </m:oMath>
      <w:r>
        <w:t>.</w:t>
      </w:r>
    </w:p>
    <w:p w:rsidR="001F4DAE" w:rsidRDefault="00FA169C">
      <w:pPr>
        <w:pStyle w:val="BodyText"/>
        <w:jc w:val="both"/>
      </w:pPr>
      <w:r>
        <w:t xml:space="preserve">What these two situations show is that rather than the incentive contract always dominating over the bonus contract, it instead only does so when the deterrence </w:t>
      </w:r>
      <w:r>
        <w:lastRenderedPageBreak/>
        <w:t>parameters a</w:t>
      </w:r>
      <w:r>
        <w:t>re high enough so that the principal has reliable access to evidence of shirking and the monitoring technology isn’t too costly. If this isn’t the case, because both parties have other-regarding preferences and go above and beyond their self-regarding beha</w:t>
      </w:r>
      <w:r>
        <w:t>vior, the bonus contract engenders a relationship that is more beneficial to both the agent and the principal than the one created by the incentive contract.</w:t>
      </w:r>
    </w:p>
    <w:p w:rsidR="001F4DAE" w:rsidRDefault="00FA169C">
      <w:pPr>
        <w:pStyle w:val="BodyText"/>
        <w:jc w:val="both"/>
      </w:pPr>
      <w:r>
        <w:t>Fehr and Schmidt (2007) extend the results from Fehr, Klein, and Schmidt (2007) by combining the f</w:t>
      </w:r>
      <w:r>
        <w:t>ine from the incentive contract with bonus contract, creating a contract that features both the carrot and the stick. It was thought that given the combination of both incentives that this new contract would dominate over the others but that was not the ca</w:t>
      </w:r>
      <w:r>
        <w:t>se as more than two thirds of all contract offers were bonus contracts. The authors advance two possible explanations for their results. One is that the introduction of a fine might be seen by the agent as being in bad faith, leading them to reciprocate by</w:t>
      </w:r>
      <w:r>
        <w:t xml:space="preserve"> expending a lower effort level. They also offer the hypothesis that since agents do not know the principal’s trustworthiness they infer from the introduction of the fine that the principal will make a lower bonus offer. Indeed, from the experimental data,</w:t>
      </w:r>
      <w:r>
        <w:t xml:space="preserve"> principals who offer the combined contract do offer significantly lower bonus payments.</w:t>
      </w:r>
    </w:p>
    <w:p w:rsidR="001F4DAE" w:rsidRDefault="00FA169C">
      <w:pPr>
        <w:pStyle w:val="BodyText"/>
        <w:jc w:val="both"/>
      </w:pPr>
      <w:r>
        <w:t>This illustrative example should be interpreted not as proving that every relationship between worker and firm will be such that other-regarding preferences are a stro</w:t>
      </w:r>
      <w:r>
        <w:t xml:space="preserve">ng determinant of the choice between competing types of contracts. Instead, the attempt has been to suggest that to the degree that other-regarding </w:t>
      </w:r>
      <w:r>
        <w:lastRenderedPageBreak/>
        <w:t>preferences are an important determinant of that choice, assuming self-regarding preferences will severely l</w:t>
      </w:r>
      <w:r>
        <w:t>imit our ability to model and understand such a relationship.</w:t>
      </w:r>
    </w:p>
    <w:p w:rsidR="001F4DAE" w:rsidRDefault="00FA169C">
      <w:pPr>
        <w:pStyle w:val="Heading1"/>
        <w:jc w:val="both"/>
      </w:pPr>
      <w:bookmarkStart w:id="12" w:name="conclusion"/>
      <w:bookmarkEnd w:id="12"/>
      <w:r>
        <w:t>Conclusion</w:t>
      </w:r>
    </w:p>
    <w:p w:rsidR="001F4DAE" w:rsidRDefault="00FA169C">
      <w:pPr>
        <w:pStyle w:val="FirstParagraph"/>
        <w:jc w:val="both"/>
      </w:pPr>
      <w:r>
        <w:t xml:space="preserve">It is our purpose as social scientists to venture farther into what we lack knowledge of and map out the intricacies that make up human behavior. We must observe the world around us, </w:t>
      </w:r>
      <w:r>
        <w:t>tease out its regularities, build up theories to explain them and test them against new observations. It is in the testing of those theories and the failure to explain behavior that we know our job is far from being over.</w:t>
      </w:r>
    </w:p>
    <w:p w:rsidR="001F4DAE" w:rsidRDefault="00FA169C">
      <w:pPr>
        <w:pStyle w:val="BodyText"/>
        <w:jc w:val="both"/>
      </w:pPr>
      <w:r>
        <w:t>It has been argued throughout this</w:t>
      </w:r>
      <w:r>
        <w:t xml:space="preserve"> study that sufficient experimental evidence has been accumulated to make us more doubtful about the assumption of agents possessing self-regarding preferences as sufficient to explain the full set of human behavior. This failure to explain documented beha</w:t>
      </w:r>
      <w:r>
        <w:t>vior has motivated the introduction of the concept of other-regarding preferences, where agents are said to not only be preoccupied with themselves but also with those around them. We have introduced a new model that takes into account other-regarding pref</w:t>
      </w:r>
      <w:r>
        <w:t>erences and argued that this type of preferences allows us to explain what was previously an unexplainable behavior.</w:t>
      </w:r>
    </w:p>
    <w:p w:rsidR="001F4DAE" w:rsidRDefault="00FA169C">
      <w:pPr>
        <w:pStyle w:val="BodyText"/>
        <w:jc w:val="both"/>
      </w:pPr>
      <w:r>
        <w:t>It is worth pointing out that this by no way means the self-regarding assumption is incorrect. That it has been continually used with succe</w:t>
      </w:r>
      <w:r>
        <w:t xml:space="preserve">ss for many years shows that even though it is not a full description of how agents behave, it still is a useful modelling assumption of great explicability. Indeed, an issue that was not dealt with </w:t>
      </w:r>
      <w:r>
        <w:lastRenderedPageBreak/>
        <w:t>in this study is how to mediate between the two assumptio</w:t>
      </w:r>
      <w:r>
        <w:t>ns. Under what circumstances is one well served by the self-regarding assumption and under which should we introduce other-regarding preferences? The literature has thus far scantly addressed this issue and some guiding principles will need to emerge befor</w:t>
      </w:r>
      <w:r>
        <w:t>e more economists use these new preferences productively.</w:t>
      </w:r>
    </w:p>
    <w:p w:rsidR="001F4DAE" w:rsidRDefault="00FA169C">
      <w:pPr>
        <w:pStyle w:val="BodyText"/>
        <w:jc w:val="both"/>
      </w:pPr>
      <w:r>
        <w:t>Regarding the experimental evidence used throughout this study, it is worth noting recent developments on the topic of replicability. Poor experimental procedure, ineffectual use of statistical tool</w:t>
      </w:r>
      <w:r>
        <w:t xml:space="preserve">s, along with unwarranted confidence put on the results from the combination of the previous two being true, has led to the accumulation of false or irrelevant results. Ioannidis (2005) provides a good introduction to this problem. Ioannidis, Stanley, and </w:t>
      </w:r>
      <w:r>
        <w:t>Doucouliagos (2017) deals directly with Economics, where it is concluded that “nearly 80% of the reported effects [in the empirical economics literature surveyed in the paper] are exaggerated.” Given the reliance in many of the experiments surveyed in this</w:t>
      </w:r>
      <w:r>
        <w:t xml:space="preserve"> study on small sample sizes, and the resulting low statistical power, it would not be surprising if some of the conclusions they reach are not correct. While it was argued that laboratory evidence has a role in the study of economic behavior, this is only</w:t>
      </w:r>
      <w:r>
        <w:t xml:space="preserve"> so if that evidence is properly gathered.</w:t>
      </w:r>
    </w:p>
    <w:p w:rsidR="001F4DAE" w:rsidRDefault="00FA169C">
      <w:pPr>
        <w:pStyle w:val="BodyText"/>
        <w:jc w:val="both"/>
      </w:pPr>
      <w:r>
        <w:t>It is our hope that this study motivates the use of other-regarding preferences in the examination of economic behavior which either has not been sufficiently examined, or has only been so through the use of the s</w:t>
      </w:r>
      <w:r>
        <w:t>elf-regarding model. Economics would only gain by expanding the lens through which it studies behavior.</w:t>
      </w:r>
    </w:p>
    <w:p w:rsidR="001F4DAE" w:rsidRDefault="00FA169C">
      <w:pPr>
        <w:pStyle w:val="Heading1"/>
        <w:jc w:val="both"/>
      </w:pPr>
      <w:bookmarkStart w:id="13" w:name="appendix"/>
      <w:bookmarkEnd w:id="13"/>
      <w:r>
        <w:lastRenderedPageBreak/>
        <w:t>Appendix</w:t>
      </w:r>
    </w:p>
    <w:p w:rsidR="001F4DAE" w:rsidRDefault="00FA169C">
      <w:pPr>
        <w:pStyle w:val="Heading2"/>
        <w:jc w:val="both"/>
      </w:pPr>
      <w:bookmarkStart w:id="14" w:name="contract-design-under-other-regarding-pr"/>
      <w:bookmarkEnd w:id="14"/>
      <w:r>
        <w:t>Contract Design Under Other-Regarding Preferences (p.31)</w:t>
      </w:r>
    </w:p>
    <w:p w:rsidR="001F4DAE" w:rsidRDefault="00FA169C">
      <w:pPr>
        <w:pStyle w:val="FirstParagraph"/>
        <w:jc w:val="both"/>
      </w:pPr>
      <w:r>
        <w:t>Consider the agent’s problem of choosing an effort level. We intend to show that an ot</w:t>
      </w:r>
      <w:r>
        <w:t xml:space="preserve">her-regarding agent with </w:t>
      </w:r>
      <m:oMath>
        <m:sSub>
          <m:sSubPr>
            <m:ctrlPr>
              <w:rPr>
                <w:rFonts w:ascii="Cambria Math" w:hAnsi="Cambria Math"/>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sub>
        </m:sSub>
        <m:r>
          <w:rPr>
            <w:rFonts w:ascii="Cambria Math" w:hAnsi="Cambria Math"/>
          </w:rPr>
          <m:t>&gt;0.5</m:t>
        </m:r>
      </m:oMath>
      <w:r>
        <w:t xml:space="preserve"> will choose </w:t>
      </w:r>
      <m:oMath>
        <m:r>
          <w:rPr>
            <w:rFonts w:ascii="Cambria Math" w:hAnsi="Cambria Math"/>
          </w:rPr>
          <m:t>e</m:t>
        </m:r>
      </m:oMath>
      <w:r>
        <w:t xml:space="preserve"> such that his monetary payoff is equal to the principal’s.</w:t>
      </w:r>
    </w:p>
    <w:p w:rsidR="001F4DAE" w:rsidRDefault="00FA169C">
      <w:pPr>
        <w:numPr>
          <w:ilvl w:val="0"/>
          <w:numId w:val="5"/>
        </w:numPr>
        <w:jc w:val="both"/>
      </w:pPr>
      <m:oMath>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P</m:t>
            </m:r>
          </m:sub>
        </m:sSub>
      </m:oMath>
    </w:p>
    <w:p w:rsidR="001F4DAE" w:rsidRDefault="00FA169C">
      <w:pPr>
        <w:pStyle w:val="FirstParagraph"/>
        <w:jc w:val="both"/>
      </w:pPr>
      <w:r>
        <w:t xml:space="preserve">If the agent’s monetary payoff is higher than the principal’s then his utility is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oMath>
      <w:r>
        <w:t>. Suppose the agent t</w:t>
      </w:r>
      <w:r>
        <w:t xml:space="preserve">ransfers </w:t>
      </w:r>
      <m:oMath>
        <m:r>
          <w:rPr>
            <w:rFonts w:ascii="Cambria Math" w:hAnsi="Cambria Math"/>
          </w:rPr>
          <m:t>ϵ</m:t>
        </m:r>
        <m:r>
          <w:rPr>
            <w:rFonts w:ascii="Cambria Math" w:hAnsi="Cambria Math"/>
          </w:rPr>
          <m:t>&gt;0</m:t>
        </m:r>
      </m:oMath>
      <w:r>
        <w:t xml:space="preserve">, where </w:t>
      </w:r>
      <m:oMath>
        <m:r>
          <w:rPr>
            <w:rFonts w:ascii="Cambria Math" w:hAnsi="Cambria Math"/>
          </w:rPr>
          <m:t>ϵ</m:t>
        </m:r>
      </m:oMath>
      <w:r>
        <w:t xml:space="preserve"> is an infinitesimal, to the principal. Then,</w:t>
      </w:r>
    </w:p>
    <w:p w:rsidR="001F4DAE" w:rsidRDefault="00FA169C">
      <w:pPr>
        <w:pStyle w:val="BodyText"/>
        <w:jc w:val="both"/>
      </w:pPr>
      <m:oMathPara>
        <m:oMath>
          <m:m>
            <m:mPr>
              <m:mcs>
                <m:mc>
                  <m:mcPr>
                    <m:count m:val="1"/>
                    <m:mcJc m:val="center"/>
                  </m:mcPr>
                </m:mc>
              </m:mcs>
              <m:ctrlPr>
                <w:rPr>
                  <w:rFonts w:ascii="Cambria Math" w:hAnsi="Cambria Math"/>
                </w:rPr>
              </m:ctrlPr>
            </m:mPr>
            <m:mr>
              <m:e>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r>
                  <w:rPr>
                    <w:rFonts w:ascii="Cambria Math" w:hAnsi="Cambria Math"/>
                  </w:rPr>
                  <m:t>ϵ</m:t>
                </m:r>
                <m:r>
                  <w:rPr>
                    <w:rFonts w:ascii="Cambria Math" w:hAnsi="Cambria Math"/>
                  </w:rPr>
                  <m:t>-</m:t>
                </m:r>
                <m:r>
                  <w:rPr>
                    <w:rFonts w:ascii="Cambria Math" w:hAnsi="Cambria Math"/>
                  </w:rPr>
                  <m:t>β</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r>
                          <w:rPr>
                            <w:rFonts w:ascii="Cambria Math" w:hAnsi="Cambria Math"/>
                          </w:rPr>
                          <m:t>ϵ</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r>
                          <w:rPr>
                            <w:rFonts w:ascii="Cambria Math" w:hAnsi="Cambria Math"/>
                          </w:rPr>
                          <m:t>ϵ</m:t>
                        </m:r>
                      </m:e>
                    </m:d>
                  </m:e>
                </m:d>
              </m:e>
            </m:mr>
            <m:mr>
              <m:e>
                <m:r>
                  <m:rPr>
                    <m:lit/>
                    <m:nor/>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r>
                  <w:rPr>
                    <w:rFonts w:ascii="Cambria Math" w:hAnsi="Cambria Math"/>
                  </w:rPr>
                  <m:t>+</m:t>
                </m:r>
                <m:r>
                  <w:rPr>
                    <w:rFonts w:ascii="Cambria Math" w:hAnsi="Cambria Math"/>
                  </w:rPr>
                  <m:t>ϵ</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β</m:t>
                        </m:r>
                      </m:e>
                      <m:sub>
                        <m:r>
                          <w:rPr>
                            <w:rFonts w:ascii="Cambria Math" w:hAnsi="Cambria Math"/>
                          </w:rPr>
                          <m:t>A</m:t>
                        </m:r>
                      </m:sub>
                    </m:sSub>
                    <m:r>
                      <w:rPr>
                        <w:rFonts w:ascii="Cambria Math" w:hAnsi="Cambria Math"/>
                      </w:rPr>
                      <m:t>-</m:t>
                    </m:r>
                    <m:r>
                      <w:rPr>
                        <w:rFonts w:ascii="Cambria Math" w:hAnsi="Cambria Math"/>
                      </w:rPr>
                      <m:t>1</m:t>
                    </m:r>
                  </m:e>
                </m:d>
              </m:e>
            </m:mr>
          </m:m>
        </m:oMath>
      </m:oMathPara>
    </w:p>
    <w:p w:rsidR="001F4DAE" w:rsidRDefault="00FA169C">
      <w:pPr>
        <w:pStyle w:val="BodyText"/>
        <w:jc w:val="both"/>
      </w:pPr>
      <w:r>
        <w:t xml:space="preserve">which implies a positive change since </w:t>
      </w:r>
      <m:oMath>
        <m:sSub>
          <m:sSubPr>
            <m:ctrlPr>
              <w:rPr>
                <w:rFonts w:ascii="Cambria Math" w:hAnsi="Cambria Math"/>
              </w:rPr>
            </m:ctrlPr>
          </m:sSubPr>
          <m:e>
            <m:r>
              <w:rPr>
                <w:rFonts w:ascii="Cambria Math" w:hAnsi="Cambria Math"/>
              </w:rPr>
              <m:t>β</m:t>
            </m:r>
          </m:e>
          <m:sub>
            <m:r>
              <w:rPr>
                <w:rFonts w:ascii="Cambria Math" w:hAnsi="Cambria Math"/>
              </w:rPr>
              <m:t>A</m:t>
            </m:r>
          </m:sub>
        </m:sSub>
        <m:r>
          <w:rPr>
            <w:rFonts w:ascii="Cambria Math" w:hAnsi="Cambria Math"/>
          </w:rPr>
          <m:t>&gt;0.5</m:t>
        </m:r>
      </m:oMath>
      <w:r>
        <w:t>. The agent is therefore made better off by transferring resources to the pr</w:t>
      </w:r>
      <w:r>
        <w:t>incipal.</w:t>
      </w:r>
    </w:p>
    <w:p w:rsidR="001F4DAE" w:rsidRDefault="00FA169C">
      <w:pPr>
        <w:numPr>
          <w:ilvl w:val="0"/>
          <w:numId w:val="6"/>
        </w:numPr>
        <w:jc w:val="both"/>
      </w:pPr>
      <m:oMath>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A</m:t>
            </m:r>
          </m:sub>
        </m:sSub>
      </m:oMath>
    </w:p>
    <w:p w:rsidR="001F4DAE" w:rsidRDefault="00FA169C">
      <w:pPr>
        <w:pStyle w:val="FirstParagraph"/>
        <w:jc w:val="both"/>
      </w:pPr>
      <w:r>
        <w:t xml:space="preserve">Now consider the case where the agent’s monetary payoff his lower than the principal’s. The agent can punish the principal and reduce his payoff by a unit at cost </w:t>
      </w:r>
      <m:oMath>
        <m:r>
          <w:rPr>
            <w:rFonts w:ascii="Cambria Math" w:hAnsi="Cambria Math"/>
          </w:rPr>
          <m:t>γ</m:t>
        </m:r>
        <m:r>
          <w:rPr>
            <w:rFonts w:ascii="Cambria Math" w:hAnsi="Cambria Math"/>
          </w:rPr>
          <m:t>&lt;1</m:t>
        </m:r>
      </m:oMath>
      <w:r>
        <w:t>. The agent’s utility if he does so is</w:t>
      </w:r>
    </w:p>
    <w:p w:rsidR="001F4DAE" w:rsidRDefault="00FA169C">
      <w:pPr>
        <w:pStyle w:val="BodyText"/>
        <w:jc w:val="both"/>
      </w:pPr>
      <m:oMathPara>
        <m:oMath>
          <m:m>
            <m:mPr>
              <m:mcs>
                <m:mc>
                  <m:mcPr>
                    <m:count m:val="1"/>
                    <m:mcJc m:val="center"/>
                  </m:mcPr>
                </m:mc>
              </m:mcs>
              <m:ctrlPr>
                <w:rPr>
                  <w:rFonts w:ascii="Cambria Math" w:hAnsi="Cambria Math"/>
                </w:rPr>
              </m:ctrlPr>
            </m:mPr>
            <m:mr>
              <m:e>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r>
                      <w:rPr>
                        <w:rFonts w:ascii="Cambria Math" w:hAnsi="Cambria Math"/>
                      </w:rPr>
                      <m:t>γ</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sub>
                </m:sSub>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r>
                          <w:rPr>
                            <w:rFonts w:ascii="Cambria Math" w:hAnsi="Cambria Math"/>
                          </w:rPr>
                          <m:t>1</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r>
                          <w:rPr>
                            <w:rFonts w:ascii="Cambria Math" w:hAnsi="Cambria Math"/>
                          </w:rPr>
                          <m:t>γ</m:t>
                        </m:r>
                      </m:e>
                    </m:d>
                  </m:e>
                </m:d>
              </m:e>
            </m:mr>
            <m:mr>
              <m:e>
                <m:r>
                  <m:rPr>
                    <m:lit/>
                    <m:nor/>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A</m:t>
                    </m:r>
                  </m:sub>
                </m:sSub>
                <m:d>
                  <m:dPr>
                    <m:ctrlPr>
                      <w:rPr>
                        <w:rFonts w:ascii="Cambria Math" w:hAnsi="Cambria Math"/>
                      </w:rPr>
                    </m:ctrlPr>
                  </m:dPr>
                  <m:e>
                    <m:r>
                      <w:rPr>
                        <w:rFonts w:ascii="Cambria Math" w:hAnsi="Cambria Math"/>
                      </w:rPr>
                      <m:t>1-</m:t>
                    </m:r>
                    <m:r>
                      <w:rPr>
                        <w:rFonts w:ascii="Cambria Math" w:hAnsi="Cambria Math"/>
                      </w:rPr>
                      <m:t>γ</m:t>
                    </m:r>
                  </m:e>
                </m:d>
                <m:r>
                  <w:rPr>
                    <w:rFonts w:ascii="Cambria Math" w:hAnsi="Cambria Math"/>
                  </w:rPr>
                  <m:t>-</m:t>
                </m:r>
                <m:r>
                  <w:rPr>
                    <w:rFonts w:ascii="Cambria Math" w:hAnsi="Cambria Math"/>
                  </w:rPr>
                  <m:t>γ</m:t>
                </m:r>
              </m:e>
            </m:mr>
          </m:m>
        </m:oMath>
      </m:oMathPara>
    </w:p>
    <w:p w:rsidR="001F4DAE" w:rsidRDefault="00FA169C" w:rsidP="001340DE">
      <w:pPr>
        <w:pStyle w:val="BodyText"/>
        <w:jc w:val="both"/>
      </w:pPr>
      <w:r>
        <w:t xml:space="preserve">For the change to be positive, we need that </w:t>
      </w:r>
      <m:oMath>
        <m:sSub>
          <m:sSubPr>
            <m:ctrlPr>
              <w:rPr>
                <w:rFonts w:ascii="Cambria Math" w:hAnsi="Cambria Math"/>
              </w:rPr>
            </m:ctrlPr>
          </m:sSubPr>
          <m:e>
            <m:r>
              <w:rPr>
                <w:rFonts w:ascii="Cambria Math" w:hAnsi="Cambria Math"/>
              </w:rPr>
              <m:t>α</m:t>
            </m:r>
          </m:e>
          <m:sub>
            <m:r>
              <w:rPr>
                <w:rFonts w:ascii="Cambria Math" w:hAnsi="Cambria Math"/>
              </w:rPr>
              <m:t>A</m:t>
            </m:r>
          </m:sub>
        </m:sSub>
        <m:d>
          <m:dPr>
            <m:ctrlPr>
              <w:rPr>
                <w:rFonts w:ascii="Cambria Math" w:hAnsi="Cambria Math"/>
              </w:rPr>
            </m:ctrlPr>
          </m:dPr>
          <m:e>
            <m:r>
              <w:rPr>
                <w:rFonts w:ascii="Cambria Math" w:hAnsi="Cambria Math"/>
              </w:rPr>
              <m:t>1-</m:t>
            </m:r>
            <m:r>
              <w:rPr>
                <w:rFonts w:ascii="Cambria Math" w:hAnsi="Cambria Math"/>
              </w:rPr>
              <m:t>γ</m:t>
            </m:r>
          </m:e>
        </m:d>
        <m:r>
          <w:rPr>
            <w:rFonts w:ascii="Cambria Math" w:hAnsi="Cambria Math"/>
          </w:rPr>
          <m:t>-</m:t>
        </m:r>
        <m:r>
          <w:rPr>
            <w:rFonts w:ascii="Cambria Math" w:hAnsi="Cambria Math"/>
          </w:rPr>
          <m:t>γ</m:t>
        </m:r>
        <m:r>
          <w:rPr>
            <w:rFonts w:ascii="Cambria Math" w:hAnsi="Cambria Math"/>
          </w:rPr>
          <m:t>≥0</m:t>
        </m:r>
      </m:oMath>
      <w:r>
        <w:t xml:space="preserve">. This means that </w:t>
      </w:r>
      <m:oMath>
        <m:r>
          <w:rPr>
            <w:rFonts w:ascii="Cambria Math" w:hAnsi="Cambria Math"/>
          </w:rPr>
          <m:t>γ</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A</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A</m:t>
                </m:r>
              </m:sub>
            </m:sSub>
          </m:den>
        </m:f>
        <m:r>
          <w:rPr>
            <w:rFonts w:ascii="Cambria Math" w:hAnsi="Cambria Math"/>
          </w:rPr>
          <m:t>&lt;1</m:t>
        </m:r>
      </m:oMath>
      <w:r>
        <w:t>.</w:t>
      </w:r>
      <w:r>
        <w:br/>
        <w:t xml:space="preserve">A similar argument can be made for how the principal reacts to inequity, leading us </w:t>
      </w:r>
      <w:r>
        <w:lastRenderedPageBreak/>
        <w:t xml:space="preserve">to conclude that if both have </w:t>
      </w:r>
      <m:oMath>
        <m:r>
          <w:rPr>
            <w:rFonts w:ascii="Cambria Math" w:hAnsi="Cambria Math"/>
          </w:rPr>
          <m:t>α</m:t>
        </m:r>
        <m:r>
          <w:rPr>
            <w:rFonts w:ascii="Cambria Math" w:hAnsi="Cambria Math"/>
          </w:rPr>
          <m:t>≥</m:t>
        </m:r>
        <m:r>
          <w:rPr>
            <w:rFonts w:ascii="Cambria Math" w:hAnsi="Cambria Math"/>
          </w:rPr>
          <m:t>β</m:t>
        </m:r>
        <m:r>
          <w:rPr>
            <w:rFonts w:ascii="Cambria Math" w:hAnsi="Cambria Math"/>
          </w:rPr>
          <m:t>&gt;0.5</m:t>
        </m:r>
      </m:oMath>
      <w:r>
        <w:t xml:space="preserve"> they will work towards equaling their monetary payoffs.</w:t>
      </w:r>
      <w:bookmarkStart w:id="15" w:name="_GoBack"/>
      <w:bookmarkEnd w:id="15"/>
    </w:p>
    <w:p w:rsidR="001F4DAE" w:rsidRDefault="00FA169C">
      <w:pPr>
        <w:pStyle w:val="Heading1"/>
        <w:jc w:val="both"/>
      </w:pPr>
      <w:r>
        <w:t>R</w:t>
      </w:r>
      <w:r>
        <w:t>eferences</w:t>
      </w:r>
    </w:p>
    <w:p w:rsidR="001F4DAE" w:rsidRDefault="001F4DAE">
      <w:pPr>
        <w:pStyle w:val="Bibliography"/>
        <w:jc w:val="both"/>
      </w:pPr>
    </w:p>
    <w:p w:rsidR="001F4DAE" w:rsidRDefault="00FA169C">
      <w:pPr>
        <w:pStyle w:val="Bibliography"/>
        <w:jc w:val="both"/>
      </w:pPr>
      <w:r>
        <w:t xml:space="preserve">Akerlof, G. A. (1982) Labor contracts as partial gift exchange, </w:t>
      </w:r>
      <w:r>
        <w:rPr>
          <w:i/>
          <w:iCs/>
        </w:rPr>
        <w:t>Quarterly Journal of Economics</w:t>
      </w:r>
      <w:r>
        <w:t>, 97-4, 543–569.</w:t>
      </w:r>
    </w:p>
    <w:p w:rsidR="001F4DAE" w:rsidRDefault="00FA169C">
      <w:pPr>
        <w:pStyle w:val="Bibliography"/>
        <w:jc w:val="both"/>
      </w:pPr>
      <w:r>
        <w:t>Andersen, S.; Ertaç, S.; Gneezy, U.; Hoffman, M.; List, J. A. (2011) Stak</w:t>
      </w:r>
      <w:r>
        <w:t>es matter in ultimatum games, The American Economic Review, 101-7, 3427–3439.</w:t>
      </w:r>
    </w:p>
    <w:p w:rsidR="001F4DAE" w:rsidRDefault="00FA169C">
      <w:pPr>
        <w:pStyle w:val="Bibliography"/>
        <w:jc w:val="both"/>
      </w:pPr>
      <w:r>
        <w:t xml:space="preserve">Andreoni, J. (1995) Cooperation in public-goods experiments: kindness or confusion? </w:t>
      </w:r>
      <w:r>
        <w:rPr>
          <w:i/>
          <w:iCs/>
        </w:rPr>
        <w:t xml:space="preserve">The American Economic Review </w:t>
      </w:r>
      <w:r>
        <w:t>, 891–904.</w:t>
      </w:r>
    </w:p>
    <w:p w:rsidR="001F4DAE" w:rsidRDefault="00FA169C">
      <w:pPr>
        <w:pStyle w:val="Bibliography"/>
        <w:jc w:val="both"/>
      </w:pPr>
      <w:r>
        <w:t>Barmettler, F.; Fehr, E.; Zehnder, C. (2012) Big exper</w:t>
      </w:r>
      <w:r>
        <w:t xml:space="preserve">imenter is watching you!anonymity and prosocial behavior in the laboratory, </w:t>
      </w:r>
      <w:r>
        <w:rPr>
          <w:i/>
          <w:iCs/>
        </w:rPr>
        <w:t>Games and Economic Behavior</w:t>
      </w:r>
      <w:r>
        <w:t>, 75-1, 17–34.</w:t>
      </w:r>
    </w:p>
    <w:p w:rsidR="001F4DAE" w:rsidRDefault="00FA169C">
      <w:pPr>
        <w:pStyle w:val="Bibliography"/>
        <w:jc w:val="both"/>
      </w:pPr>
      <w:r>
        <w:t>Camerer, C. (2011a) Behavioral game theory: Experiments in strategic interaction, Princeton University Press.</w:t>
      </w:r>
    </w:p>
    <w:p w:rsidR="001F4DAE" w:rsidRDefault="00FA169C">
      <w:pPr>
        <w:pStyle w:val="Bibliography"/>
        <w:jc w:val="both"/>
      </w:pPr>
      <w:r>
        <w:t>Camerer, C. (2011b) The prom</w:t>
      </w:r>
      <w:r>
        <w:t xml:space="preserve">ise and success of lab-field generalizability in experimental economics: A critical reply to Levitt and List. In G. R. Fréchette; A. Schotter (Eds.), Handbook of experimental economic methodology. Oxford University Press. </w:t>
      </w:r>
    </w:p>
    <w:p w:rsidR="001F4DAE" w:rsidRDefault="00FA169C">
      <w:pPr>
        <w:pStyle w:val="Bibliography"/>
        <w:jc w:val="both"/>
      </w:pPr>
      <w:r>
        <w:t>Camerer, C., Hogarth, R. M.; Bude</w:t>
      </w:r>
      <w:r>
        <w:t xml:space="preserve">scu, D. V.; Eckel, C. (1999) The effects of financial incentives in experiments: A review and capital-labor-production framework, </w:t>
      </w:r>
      <w:r>
        <w:rPr>
          <w:i/>
        </w:rPr>
        <w:t>Journal of risk and uncertainty</w:t>
      </w:r>
      <w:r>
        <w:t xml:space="preserve">, </w:t>
      </w:r>
      <w:r>
        <w:rPr>
          <w:i/>
        </w:rPr>
        <w:t>19</w:t>
      </w:r>
      <w:r>
        <w:t>(1-3), 7-42.</w:t>
      </w:r>
    </w:p>
    <w:p w:rsidR="001F4DAE" w:rsidRDefault="00FA169C">
      <w:pPr>
        <w:pStyle w:val="Bibliography"/>
        <w:jc w:val="both"/>
      </w:pPr>
      <w:r>
        <w:t>Cameron, L. A. (1999) Raising the stakes in the ultimatum game: Experimental e</w:t>
      </w:r>
      <w:r>
        <w:t xml:space="preserve">vidence from indonesia, </w:t>
      </w:r>
      <w:r>
        <w:rPr>
          <w:i/>
          <w:iCs/>
        </w:rPr>
        <w:t>Economic Inquiry</w:t>
      </w:r>
      <w:r>
        <w:t xml:space="preserve">, 37-1, 47–59. </w:t>
      </w:r>
    </w:p>
    <w:p w:rsidR="001F4DAE" w:rsidRDefault="00FA169C">
      <w:pPr>
        <w:pStyle w:val="Bibliography"/>
        <w:jc w:val="both"/>
      </w:pPr>
      <w:r>
        <w:t xml:space="preserve">Carter, J. R.; Irons, M. D. (1991) Are economists different, and if so, why? </w:t>
      </w:r>
      <w:r>
        <w:rPr>
          <w:i/>
          <w:iCs/>
        </w:rPr>
        <w:t>Journal of Economic Perspectives</w:t>
      </w:r>
      <w:r>
        <w:t xml:space="preserve">, 5-2, 171–177. </w:t>
      </w:r>
    </w:p>
    <w:p w:rsidR="001F4DAE" w:rsidRDefault="00FA169C">
      <w:pPr>
        <w:pStyle w:val="Bibliography"/>
        <w:jc w:val="both"/>
      </w:pPr>
      <w:r>
        <w:t xml:space="preserve">Cohn, A.; Fehr, E.; Goette, L. (2008) Fairness and effort-evidence from a </w:t>
      </w:r>
      <w:r>
        <w:t>field experiment, Working Paper.</w:t>
      </w:r>
    </w:p>
    <w:p w:rsidR="001F4DAE" w:rsidRDefault="00FA169C">
      <w:pPr>
        <w:pStyle w:val="Bibliography"/>
        <w:jc w:val="both"/>
      </w:pPr>
      <w:r>
        <w:t xml:space="preserve">Dana, J.; Cain, D. M.; Dawes, R. M. (2006) What you don’t know won’t hurt me:  Costly (but quiet) exit in dictator games, </w:t>
      </w:r>
      <w:r>
        <w:rPr>
          <w:i/>
          <w:iCs/>
        </w:rPr>
        <w:t>Organizational Behavior and Human Decision Processes</w:t>
      </w:r>
      <w:r>
        <w:t xml:space="preserve">, 100-2, 193–201. </w:t>
      </w:r>
    </w:p>
    <w:p w:rsidR="001F4DAE" w:rsidRDefault="00FA169C">
      <w:pPr>
        <w:pStyle w:val="Bibliography"/>
        <w:jc w:val="both"/>
      </w:pPr>
      <w:r>
        <w:t>Dana, J.; Weber, R. A.; Kuang,</w:t>
      </w:r>
      <w:r>
        <w:t xml:space="preserve"> J. X. (2007) Exploiting moral wiggle room: experiments demonstrating an illusory preference for fairness, </w:t>
      </w:r>
      <w:r>
        <w:rPr>
          <w:i/>
          <w:iCs/>
        </w:rPr>
        <w:t>Economic Theory</w:t>
      </w:r>
      <w:r>
        <w:t xml:space="preserve">, 33-1, 67–80. </w:t>
      </w:r>
    </w:p>
    <w:p w:rsidR="001F4DAE" w:rsidRDefault="00FA169C">
      <w:pPr>
        <w:pStyle w:val="Bibliography"/>
        <w:jc w:val="both"/>
      </w:pPr>
      <w:r>
        <w:lastRenderedPageBreak/>
        <w:t xml:space="preserve">Dhami, S. (2016) The foundations of behavioral economic analysis, Oxford University Press. </w:t>
      </w:r>
    </w:p>
    <w:p w:rsidR="001F4DAE" w:rsidRDefault="00FA169C">
      <w:pPr>
        <w:pStyle w:val="Bibliography"/>
        <w:jc w:val="both"/>
      </w:pPr>
      <w:r>
        <w:t>Ebbinghaus, H. (1885) Memo</w:t>
      </w:r>
      <w:r>
        <w:t>ry: A contribution to experimental psychology, New York: Dover.</w:t>
      </w:r>
    </w:p>
    <w:p w:rsidR="001F4DAE" w:rsidRDefault="00FA169C">
      <w:pPr>
        <w:pStyle w:val="Bibliography"/>
        <w:jc w:val="both"/>
      </w:pPr>
      <w:r>
        <w:t>Eckel, C.; Gintis, H. (2010) Blaming the messenger: Notes on the current state of experimental economics, Journal of Economic Behavior and Organization, 73-1, 109–119.</w:t>
      </w:r>
    </w:p>
    <w:p w:rsidR="001F4DAE" w:rsidRDefault="00FA169C">
      <w:pPr>
        <w:pStyle w:val="Bibliography"/>
        <w:jc w:val="both"/>
      </w:pPr>
      <w:r>
        <w:t xml:space="preserve">Edgeworth, F. Y. (1881) </w:t>
      </w:r>
      <w:r>
        <w:t xml:space="preserve">Mathematical psychics: An essay on the application of mathematics to the moral sciences, Kegan Paul. </w:t>
      </w:r>
    </w:p>
    <w:p w:rsidR="001F4DAE" w:rsidRDefault="00FA169C">
      <w:pPr>
        <w:pStyle w:val="Bibliography"/>
        <w:jc w:val="both"/>
      </w:pPr>
      <w:r>
        <w:t xml:space="preserve">Falk, A.; Heckman, J. J. (2009) Lab Experiments Are a Major Source of Knowledge in the Social Sciences, </w:t>
      </w:r>
      <w:r>
        <w:rPr>
          <w:i/>
          <w:iCs/>
        </w:rPr>
        <w:t>Science</w:t>
      </w:r>
      <w:r>
        <w:t xml:space="preserve">, 326-5952, 535–538. </w:t>
      </w:r>
    </w:p>
    <w:p w:rsidR="001F4DAE" w:rsidRDefault="00FA169C">
      <w:pPr>
        <w:pStyle w:val="Bibliography"/>
        <w:jc w:val="both"/>
      </w:pPr>
      <w:r>
        <w:t xml:space="preserve">Falk, A.; Meier, S.; Zehnder, C. (2013) Do lab experiments misrepresent social preferences? the case of self-selected student samples, </w:t>
      </w:r>
      <w:r>
        <w:rPr>
          <w:i/>
          <w:iCs/>
        </w:rPr>
        <w:t>Journal of the European Economic Association</w:t>
      </w:r>
      <w:r>
        <w:t xml:space="preserve">, 11-4, 839–852. </w:t>
      </w:r>
    </w:p>
    <w:p w:rsidR="001F4DAE" w:rsidRDefault="00FA169C">
      <w:pPr>
        <w:pStyle w:val="Bibliography"/>
        <w:jc w:val="both"/>
      </w:pPr>
      <w:r>
        <w:t>Fehr, E.; Falk, A. (2002) Psychological foundations of ince</w:t>
      </w:r>
      <w:r>
        <w:t xml:space="preserve">ntives, </w:t>
      </w:r>
      <w:r>
        <w:rPr>
          <w:i/>
          <w:iCs/>
        </w:rPr>
        <w:t xml:space="preserve">European Economic Review </w:t>
      </w:r>
      <w:r>
        <w:t xml:space="preserve">, 46 (4-5), 687–724. </w:t>
      </w:r>
    </w:p>
    <w:p w:rsidR="001F4DAE" w:rsidRDefault="00FA169C">
      <w:pPr>
        <w:pStyle w:val="Bibliography"/>
        <w:jc w:val="both"/>
      </w:pPr>
      <w:r>
        <w:t xml:space="preserve">Fehr, E.; Gächter, S.; Kirchsteiger, G. (1997) Reciprocity as a contract enforcement device: Experimental evidence, </w:t>
      </w:r>
      <w:r>
        <w:rPr>
          <w:i/>
          <w:iCs/>
        </w:rPr>
        <w:t>Econometrica</w:t>
      </w:r>
      <w:r>
        <w:t xml:space="preserve">, 833–860. </w:t>
      </w:r>
    </w:p>
    <w:p w:rsidR="001F4DAE" w:rsidRDefault="00FA169C">
      <w:pPr>
        <w:pStyle w:val="Bibliography"/>
        <w:jc w:val="both"/>
      </w:pPr>
      <w:r>
        <w:t>Fehr, E.; Goette, L.; Zehnder, C. (2009) A Behavioral Account</w:t>
      </w:r>
      <w:r>
        <w:t xml:space="preserve"> of the Labor Market: The Role of Fairness Concerns, </w:t>
      </w:r>
      <w:r>
        <w:rPr>
          <w:i/>
          <w:iCs/>
        </w:rPr>
        <w:t>Annual Review of Economics</w:t>
      </w:r>
      <w:r>
        <w:t xml:space="preserve">, 1-1, 355–384. </w:t>
      </w:r>
    </w:p>
    <w:p w:rsidR="001F4DAE" w:rsidRDefault="00FA169C">
      <w:pPr>
        <w:pStyle w:val="Bibliography"/>
        <w:jc w:val="both"/>
      </w:pPr>
      <w:r>
        <w:t xml:space="preserve">Fehr, E.; Kirchsteiger, G.; Riedl, A. (1993) Does fairness prevent market clearing? an experimental investigation, </w:t>
      </w:r>
      <w:r>
        <w:rPr>
          <w:i/>
          <w:iCs/>
        </w:rPr>
        <w:t>Quarterly Journal of Economics</w:t>
      </w:r>
      <w:r>
        <w:t>, 108-2, 437–45</w:t>
      </w:r>
      <w:r>
        <w:t xml:space="preserve">9. </w:t>
      </w:r>
    </w:p>
    <w:p w:rsidR="001F4DAE" w:rsidRDefault="00FA169C">
      <w:pPr>
        <w:pStyle w:val="Bibliography"/>
        <w:jc w:val="both"/>
      </w:pPr>
      <w:r>
        <w:t xml:space="preserve">Fehr, E.; Klein, A.; Schmidt, K. M. (2007) Fairness and contract design, </w:t>
      </w:r>
      <w:r>
        <w:rPr>
          <w:i/>
          <w:iCs/>
        </w:rPr>
        <w:t>Econometrica</w:t>
      </w:r>
      <w:r>
        <w:t xml:space="preserve">, 75-1, 121–154. </w:t>
      </w:r>
    </w:p>
    <w:p w:rsidR="001F4DAE" w:rsidRDefault="00FA169C">
      <w:pPr>
        <w:pStyle w:val="Bibliography"/>
        <w:jc w:val="both"/>
      </w:pPr>
      <w:r>
        <w:t xml:space="preserve">Fehr, E.; List, J. A. (2004) The hidden costs and returns of incentives—trust and trustworthiness among CEOs, </w:t>
      </w:r>
      <w:r>
        <w:rPr>
          <w:i/>
          <w:iCs/>
        </w:rPr>
        <w:t>Journal of the European Economic Associ</w:t>
      </w:r>
      <w:r>
        <w:rPr>
          <w:i/>
          <w:iCs/>
        </w:rPr>
        <w:t>ation</w:t>
      </w:r>
      <w:r>
        <w:t xml:space="preserve">, 2-5, 743–771. </w:t>
      </w:r>
    </w:p>
    <w:p w:rsidR="001F4DAE" w:rsidRDefault="00FA169C">
      <w:pPr>
        <w:pStyle w:val="Bibliography"/>
        <w:jc w:val="both"/>
      </w:pPr>
      <w:r>
        <w:t xml:space="preserve">Fehr, E.; Schmidt, K. (1999) A Theory of Fairness,Competition and Cooperation. </w:t>
      </w:r>
      <w:r>
        <w:rPr>
          <w:i/>
          <w:iCs/>
        </w:rPr>
        <w:t>Quarterly journal of Economics</w:t>
      </w:r>
      <w:r>
        <w:t xml:space="preserve">, 114 (August), 817–868. </w:t>
      </w:r>
    </w:p>
    <w:p w:rsidR="001F4DAE" w:rsidRDefault="00FA169C">
      <w:pPr>
        <w:pStyle w:val="Bibliography"/>
        <w:jc w:val="both"/>
      </w:pPr>
      <w:r>
        <w:t xml:space="preserve">Fehr, E.; Schmidt, K. M. (2007) Adding a stick to the carrot? The interaction of bonuses and fines, </w:t>
      </w:r>
      <w:r>
        <w:rPr>
          <w:i/>
          <w:iCs/>
        </w:rPr>
        <w:t xml:space="preserve">American Economic Review </w:t>
      </w:r>
      <w:r>
        <w:t xml:space="preserve">, 97-2, 177–181. </w:t>
      </w:r>
    </w:p>
    <w:p w:rsidR="001F4DAE" w:rsidRDefault="00FA169C">
      <w:pPr>
        <w:pStyle w:val="Bibliography"/>
        <w:jc w:val="both"/>
      </w:pPr>
      <w:r>
        <w:t>Gneezy, U.; List, J. A. (2006) Putting behavioral economics to work: resting for gift exchange in labor markets u</w:t>
      </w:r>
      <w:r>
        <w:t xml:space="preserve">sing field experiments, </w:t>
      </w:r>
      <w:r>
        <w:rPr>
          <w:i/>
          <w:iCs/>
        </w:rPr>
        <w:t>Econometrica</w:t>
      </w:r>
      <w:r>
        <w:t xml:space="preserve">, 74-5, 1365–384. </w:t>
      </w:r>
    </w:p>
    <w:p w:rsidR="001F4DAE" w:rsidRDefault="00FA169C">
      <w:pPr>
        <w:pStyle w:val="Bibliography"/>
        <w:jc w:val="both"/>
      </w:pPr>
      <w:r>
        <w:t xml:space="preserve">Guala, F. (2008) History of Experimental Economics. In The new palgrave dictionary of economics (pp. 1–8). Plagrave Macmillan. </w:t>
      </w:r>
    </w:p>
    <w:p w:rsidR="001F4DAE" w:rsidRDefault="00FA169C">
      <w:pPr>
        <w:pStyle w:val="Bibliography"/>
        <w:jc w:val="both"/>
      </w:pPr>
      <w:r>
        <w:lastRenderedPageBreak/>
        <w:t xml:space="preserve">Hausman, D. M. (2011). Preference, value, choice, and welfare. Cambridge </w:t>
      </w:r>
      <w:r>
        <w:t xml:space="preserve">University Press. </w:t>
      </w:r>
    </w:p>
    <w:p w:rsidR="001F4DAE" w:rsidRDefault="00FA169C">
      <w:pPr>
        <w:pStyle w:val="Bibliography"/>
        <w:jc w:val="both"/>
      </w:pPr>
      <w:r>
        <w:t xml:space="preserve">Henrich, J. (2000). Does culture matter in economic behavior ? Ultimatum Game Bargaining among the Machiguenga of the Peruvian Amazon, </w:t>
      </w:r>
      <w:r>
        <w:rPr>
          <w:i/>
          <w:iCs/>
        </w:rPr>
        <w:t>American Economic Review</w:t>
      </w:r>
      <w:r>
        <w:t xml:space="preserve">, 4 (October). </w:t>
      </w:r>
    </w:p>
    <w:p w:rsidR="001F4DAE" w:rsidRDefault="00FA169C">
      <w:pPr>
        <w:pStyle w:val="Bibliography"/>
        <w:jc w:val="both"/>
      </w:pPr>
      <w:r>
        <w:t>Henrich, J.; Boyd, R.; Bowles, S.; Camerer, C.; Fehr, E.; Gint</w:t>
      </w:r>
      <w:r>
        <w:t xml:space="preserve">is, H.; McElreath, R.; Alvard, M.; Barr, A.; Ensminger, J.; Henrich, N. S. (2005) “Economic man” in cross-cultural perspective: Behavioral experiments in 15 small-scale societies. Behavioral and Brain Sciences, 28 (6), 795–815. </w:t>
      </w:r>
    </w:p>
    <w:p w:rsidR="001F4DAE" w:rsidRDefault="00FA169C">
      <w:pPr>
        <w:pStyle w:val="Bibliography"/>
        <w:jc w:val="both"/>
      </w:pPr>
      <w:r>
        <w:t>Homans, G. C. (1954). The c</w:t>
      </w:r>
      <w:r>
        <w:t xml:space="preserve">ash posters: a study of a group of working girls. American Sociological Review , 19 (6), 724–733. </w:t>
      </w:r>
    </w:p>
    <w:p w:rsidR="001F4DAE" w:rsidRDefault="00FA169C">
      <w:pPr>
        <w:pStyle w:val="Bibliography"/>
        <w:jc w:val="both"/>
      </w:pPr>
      <w:r>
        <w:t xml:space="preserve">Ioannidis, J.; Stanley, T. D.; Doucouliagos, H. (2017) The power of bias in economics research, </w:t>
      </w:r>
      <w:r>
        <w:rPr>
          <w:i/>
          <w:iCs/>
        </w:rPr>
        <w:t xml:space="preserve">The Economic Journal </w:t>
      </w:r>
      <w:r>
        <w:t xml:space="preserve">, 127-605. </w:t>
      </w:r>
    </w:p>
    <w:p w:rsidR="001F4DAE" w:rsidRDefault="00FA169C">
      <w:pPr>
        <w:pStyle w:val="Bibliography"/>
        <w:jc w:val="both"/>
      </w:pPr>
      <w:r>
        <w:t>Ioannidis, J. P. A. (2005) W</w:t>
      </w:r>
      <w:r>
        <w:t xml:space="preserve">hy most published research findings are false. </w:t>
      </w:r>
      <w:r>
        <w:rPr>
          <w:i/>
          <w:iCs/>
        </w:rPr>
        <w:t>PloS Medicine</w:t>
      </w:r>
      <w:r>
        <w:t xml:space="preserve">, 2-8, e124. </w:t>
      </w:r>
    </w:p>
    <w:p w:rsidR="001F4DAE" w:rsidRDefault="00FA169C">
      <w:pPr>
        <w:pStyle w:val="Bibliography"/>
        <w:jc w:val="both"/>
      </w:pPr>
      <w:r>
        <w:t xml:space="preserve">Johnson, N. D.; Mislin, A. A. (2011) Trust games: A meta-analysis, </w:t>
      </w:r>
      <w:r>
        <w:rPr>
          <w:i/>
          <w:iCs/>
        </w:rPr>
        <w:t>Journal of Economic Psychology</w:t>
      </w:r>
      <w:r>
        <w:t xml:space="preserve">, 32-5, 865–889. </w:t>
      </w:r>
    </w:p>
    <w:p w:rsidR="001F4DAE" w:rsidRDefault="00FA169C">
      <w:pPr>
        <w:pStyle w:val="Bibliography"/>
        <w:jc w:val="both"/>
      </w:pPr>
      <w:r>
        <w:t>Levitt, S. D.; List, J. A. (2007) What do laboratory experiments me</w:t>
      </w:r>
      <w:r>
        <w:t xml:space="preserve">asuring social preferences reveal about the real world? </w:t>
      </w:r>
      <w:r>
        <w:rPr>
          <w:i/>
          <w:iCs/>
        </w:rPr>
        <w:t>Journal of Economic Perspectives</w:t>
      </w:r>
      <w:r>
        <w:t>, 21-2, 153–174.</w:t>
      </w:r>
    </w:p>
    <w:p w:rsidR="001F4DAE" w:rsidRDefault="00FA169C">
      <w:pPr>
        <w:pStyle w:val="Bibliography"/>
        <w:jc w:val="both"/>
      </w:pPr>
      <w:r>
        <w:t xml:space="preserve">List, J. A. (2004) Young, selfish and male: Field evidence of social preferences </w:t>
      </w:r>
      <w:r>
        <w:rPr>
          <w:i/>
          <w:iCs/>
        </w:rPr>
        <w:t>Economic Journal,</w:t>
      </w:r>
      <w:r>
        <w:t xml:space="preserve"> 114-492, 121–149. </w:t>
      </w:r>
    </w:p>
    <w:p w:rsidR="001F4DAE" w:rsidRDefault="00FA169C">
      <w:pPr>
        <w:pStyle w:val="Bibliography"/>
        <w:jc w:val="both"/>
      </w:pPr>
      <w:r>
        <w:t>List, J. A. (2006) The Behavioral</w:t>
      </w:r>
      <w:r>
        <w:t xml:space="preserve">ist Meets the Market: Measuring Social Preferences and Reputation Effects in Actual Transactions, </w:t>
      </w:r>
      <w:r>
        <w:rPr>
          <w:i/>
          <w:iCs/>
        </w:rPr>
        <w:t>Journal of Political Economy</w:t>
      </w:r>
      <w:r>
        <w:t>, 114-1, 1–37.</w:t>
      </w:r>
    </w:p>
    <w:p w:rsidR="001F4DAE" w:rsidRDefault="00FA169C">
      <w:pPr>
        <w:pStyle w:val="Bibliography"/>
        <w:jc w:val="both"/>
      </w:pPr>
      <w:r>
        <w:t xml:space="preserve">List, J. A. (2007) On the interpretation of giving in dictator games, </w:t>
      </w:r>
      <w:r>
        <w:rPr>
          <w:i/>
          <w:iCs/>
        </w:rPr>
        <w:t>Journal of Political economy</w:t>
      </w:r>
      <w:r>
        <w:t>, 115-3, 482–493.</w:t>
      </w:r>
      <w:r>
        <w:t xml:space="preserve"> </w:t>
      </w:r>
    </w:p>
    <w:p w:rsidR="001F4DAE" w:rsidRDefault="00FA169C">
      <w:pPr>
        <w:pStyle w:val="Bibliography"/>
        <w:jc w:val="both"/>
      </w:pPr>
      <w:r>
        <w:t xml:space="preserve">Mearsheimer, J. J.; Walt, S. M. (2013) Leaving theory behind: Why simplistic hypothesis testing is bad for international relations. </w:t>
      </w:r>
      <w:r>
        <w:rPr>
          <w:i/>
          <w:iCs/>
        </w:rPr>
        <w:t>European Journal of International Relations</w:t>
      </w:r>
      <w:r>
        <w:t xml:space="preserve">, 19-3, 427–457. </w:t>
      </w:r>
    </w:p>
    <w:p w:rsidR="001F4DAE" w:rsidRDefault="00FA169C">
      <w:pPr>
        <w:pStyle w:val="Bibliography"/>
        <w:jc w:val="both"/>
      </w:pPr>
      <w:r>
        <w:t>Moscati, I. (2007) Early experiments in consumer demand theor</w:t>
      </w:r>
      <w:r>
        <w:t xml:space="preserve">y: 1930-1970. </w:t>
      </w:r>
      <w:r>
        <w:rPr>
          <w:i/>
          <w:iCs/>
        </w:rPr>
        <w:t>History of political economy</w:t>
      </w:r>
      <w:r>
        <w:t xml:space="preserve">, 39-3, 359. </w:t>
      </w:r>
    </w:p>
    <w:p w:rsidR="001F4DAE" w:rsidRDefault="00FA169C">
      <w:pPr>
        <w:pStyle w:val="Bibliography"/>
        <w:jc w:val="both"/>
      </w:pPr>
      <w:r>
        <w:t xml:space="preserve">Roth, A. E.; Prasnikar, V.; Okuno-Fujiwara, M.; Zamir, S. (1991) Bargaining and market behavior in jerusalem, ljubljana, pittsburgh, and tokyo: An experimental study, The </w:t>
      </w:r>
      <w:r>
        <w:rPr>
          <w:i/>
          <w:iCs/>
        </w:rPr>
        <w:t xml:space="preserve">American Economic Review </w:t>
      </w:r>
      <w:r>
        <w:t>, 10</w:t>
      </w:r>
      <w:r>
        <w:t>68–1095.</w:t>
      </w:r>
    </w:p>
    <w:p w:rsidR="001F4DAE" w:rsidRDefault="00FA169C">
      <w:pPr>
        <w:pStyle w:val="Bibliography"/>
        <w:jc w:val="both"/>
      </w:pPr>
      <w:r>
        <w:t>Samuelson, P.; Nordhaus, W. D. (1985) Economics, McGraw-Hill.</w:t>
      </w:r>
    </w:p>
    <w:p w:rsidR="001F4DAE" w:rsidRDefault="00FA169C">
      <w:pPr>
        <w:pStyle w:val="Bibliography"/>
        <w:jc w:val="both"/>
      </w:pPr>
      <w:r>
        <w:lastRenderedPageBreak/>
        <w:t>Samuelson, P.; Nordhaus, W. D. (1992) Economics, McGraw-Hill.</w:t>
      </w:r>
    </w:p>
    <w:p w:rsidR="001F4DAE" w:rsidRDefault="00FA169C">
      <w:pPr>
        <w:pStyle w:val="Bibliography"/>
        <w:jc w:val="both"/>
      </w:pPr>
      <w:r>
        <w:t xml:space="preserve">Slonim, R.; Roth, A. E. (1998) Learning in high stakes ultimatum games:An experiment in the slovak republic, </w:t>
      </w:r>
      <w:r>
        <w:rPr>
          <w:i/>
          <w:iCs/>
        </w:rPr>
        <w:t>Econometrica</w:t>
      </w:r>
      <w:r>
        <w:t xml:space="preserve">, </w:t>
      </w:r>
      <w:r>
        <w:t>569–596.</w:t>
      </w:r>
    </w:p>
    <w:p w:rsidR="001F4DAE" w:rsidRDefault="00FA169C">
      <w:pPr>
        <w:pStyle w:val="Bibliography"/>
        <w:jc w:val="both"/>
      </w:pPr>
      <w:r>
        <w:t>Smith, A. (1822). The theory of moral sentiments (Vol. 1), J. Richardson.</w:t>
      </w:r>
    </w:p>
    <w:p w:rsidR="001F4DAE" w:rsidRDefault="00FA169C">
      <w:pPr>
        <w:pStyle w:val="Bibliography"/>
        <w:jc w:val="both"/>
      </w:pPr>
      <w:r>
        <w:t xml:space="preserve">Ward, A. (1997) Naive realism in everyday life: Implications for social conflict and misunderstanding, </w:t>
      </w:r>
      <w:r>
        <w:rPr>
          <w:i/>
          <w:iCs/>
        </w:rPr>
        <w:t>Values and knowledge</w:t>
      </w:r>
      <w:r>
        <w:t xml:space="preserve">, 103–135. </w:t>
      </w:r>
    </w:p>
    <w:p w:rsidR="001F4DAE" w:rsidRDefault="001F4DAE">
      <w:pPr>
        <w:pStyle w:val="Bibliography"/>
        <w:jc w:val="both"/>
      </w:pPr>
    </w:p>
    <w:sectPr w:rsidR="001F4DAE">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69C" w:rsidRDefault="00FA169C">
      <w:pPr>
        <w:spacing w:after="0"/>
      </w:pPr>
      <w:r>
        <w:separator/>
      </w:r>
    </w:p>
  </w:endnote>
  <w:endnote w:type="continuationSeparator" w:id="0">
    <w:p w:rsidR="00FA169C" w:rsidRDefault="00FA1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69C" w:rsidRDefault="00FA169C">
      <w:r>
        <w:separator/>
      </w:r>
    </w:p>
  </w:footnote>
  <w:footnote w:type="continuationSeparator" w:id="0">
    <w:p w:rsidR="00FA169C" w:rsidRDefault="00FA169C">
      <w:r>
        <w:continuationSeparator/>
      </w:r>
    </w:p>
  </w:footnote>
  <w:footnote w:id="1">
    <w:p w:rsidR="001F4DAE" w:rsidRDefault="00FA169C">
      <w:pPr>
        <w:pStyle w:val="FootnoteText"/>
      </w:pPr>
      <w:r>
        <w:footnoteRef/>
      </w:r>
      <w:r>
        <w:tab/>
        <w:t xml:space="preserve"> Contrary to what one might infer from the Invisible Hand concept, Adam Smith never believed humans are only driven by self-interest (Smith 1822).</w:t>
      </w:r>
    </w:p>
  </w:footnote>
  <w:footnote w:id="2">
    <w:p w:rsidR="001F4DAE" w:rsidRDefault="00FA169C">
      <w:pPr>
        <w:pStyle w:val="FootnoteText"/>
      </w:pPr>
      <w:r>
        <w:footnoteRef/>
      </w:r>
      <w:r>
        <w:tab/>
        <w:t xml:space="preserve"> The public goods game is one w</w:t>
      </w:r>
      <w:r>
        <w:t>here the subjects must decide how many tokens to contribute to a public good whose payoff will be equally distributed amongst all subjects and that is higher than the initial endowment. The standard prediction is that each subject will free ride. Experimen</w:t>
      </w:r>
      <w:r>
        <w:t>tal evidence shows that this prediction is only true if there is no opportunity for other subjects to punish the free riders.</w:t>
      </w:r>
    </w:p>
  </w:footnote>
  <w:footnote w:id="3">
    <w:p w:rsidR="001F4DAE" w:rsidRDefault="00FA169C">
      <w:pPr>
        <w:pStyle w:val="FootnoteText"/>
      </w:pPr>
      <w:r>
        <w:footnoteRef/>
      </w:r>
      <w:r>
        <w:tab/>
        <w:t xml:space="preserve"> Camerer (2011b) provides a critical reply to List (2006) and reanalyzes the data with different statistical techniques. He note</w:t>
      </w:r>
      <w:r>
        <w:t>s that “...the conclusion that the lab and field show different reciprocity is suggestive but is just not robustly significant.”</w:t>
      </w:r>
    </w:p>
  </w:footnote>
  <w:footnote w:id="4">
    <w:p w:rsidR="001F4DAE" w:rsidRDefault="00FA169C">
      <w:pPr>
        <w:pStyle w:val="FootnoteText"/>
      </w:pPr>
      <w:r>
        <w:footnoteRef/>
      </w:r>
      <w:r>
        <w:tab/>
        <w:t xml:space="preserve"> As Colin Camerer writes in his 2003 textbook, five years before Levitt and List’s paper: “If I had a dollar for every time </w:t>
      </w:r>
      <w:r>
        <w:t>an economist claimed that raising the stakes would drive ultimatum behavior towards self-interest, I’d have a private jet on standby all day (Camerer 2011a, 60).”</w:t>
      </w:r>
    </w:p>
  </w:footnote>
  <w:footnote w:id="5">
    <w:p w:rsidR="001F4DAE" w:rsidRDefault="00FA169C">
      <w:pPr>
        <w:pStyle w:val="FootnoteText"/>
      </w:pPr>
      <w:r>
        <w:footnoteRef/>
      </w:r>
      <w:r>
        <w:tab/>
        <w:t xml:space="preserve"> The question of how the proposer comes to know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is an important one though we can assu</w:t>
      </w:r>
      <w:r>
        <w:t>me that the proposer does know it. Henrich and Henrich (2007) provides a valuable overview to how humans come to learn how to successfully cooperate with their peers..</w:t>
      </w:r>
    </w:p>
  </w:footnote>
  <w:footnote w:id="6">
    <w:p w:rsidR="001F4DAE" w:rsidRDefault="00FA169C">
      <w:pPr>
        <w:pStyle w:val="FootnoteText"/>
      </w:pPr>
      <w:r>
        <w:footnoteRef/>
      </w:r>
      <w:r>
        <w:tab/>
        <w:t xml:space="preserve"> Under the incentive contract, both agent and principal act as self-regarding given th</w:t>
      </w:r>
      <w:r>
        <w:t>at there is no opportunity for one to exhibit reciprocity towards the other.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978"/>
    <w:multiLevelType w:val="multilevel"/>
    <w:tmpl w:val="ADD2C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641A03"/>
    <w:multiLevelType w:val="multilevel"/>
    <w:tmpl w:val="44EEC6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B37072"/>
    <w:multiLevelType w:val="multilevel"/>
    <w:tmpl w:val="26D292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FAA4E8A"/>
    <w:multiLevelType w:val="multilevel"/>
    <w:tmpl w:val="B1D019D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A925D0"/>
    <w:multiLevelType w:val="multilevel"/>
    <w:tmpl w:val="893E819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881FF0"/>
    <w:multiLevelType w:val="multilevel"/>
    <w:tmpl w:val="EEC6CEF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67B1FD4"/>
    <w:multiLevelType w:val="multilevel"/>
    <w:tmpl w:val="6350704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4DAE"/>
    <w:rsid w:val="001340DE"/>
    <w:rsid w:val="001F4DAE"/>
    <w:rsid w:val="00BA4807"/>
    <w:rsid w:val="00FA16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F3CC"/>
  <w15:docId w15:val="{3548D25A-AFAE-492F-9ED2-BB1DBB6D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33333"/>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333333"/>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333333"/>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Symbol"/>
    </w:rPr>
  </w:style>
  <w:style w:type="character" w:customStyle="1" w:styleId="ListLabel108">
    <w:name w:val="ListLabel 108"/>
    <w:qFormat/>
    <w:rPr>
      <w:rFonts w:cs="Symbol"/>
    </w:rPr>
  </w:style>
  <w:style w:type="character" w:customStyle="1" w:styleId="ListLabel109">
    <w:name w:val="ListLabel 109"/>
    <w:qFormat/>
    <w:rPr>
      <w:rFonts w:cs="Symbol"/>
    </w:rPr>
  </w:style>
  <w:style w:type="character" w:customStyle="1" w:styleId="ListLabel110">
    <w:name w:val="ListLabel 110"/>
    <w:qFormat/>
    <w:rPr>
      <w:rFonts w:cs="Symbol"/>
    </w:rPr>
  </w:style>
  <w:style w:type="character" w:customStyle="1" w:styleId="ListLabel111">
    <w:name w:val="ListLabel 111"/>
    <w:qFormat/>
    <w:rPr>
      <w:rFonts w:cs="Symbol"/>
    </w:rPr>
  </w:style>
  <w:style w:type="character" w:customStyle="1" w:styleId="ListLabel112">
    <w:name w:val="ListLabel 112"/>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line="480" w:lineRule="auto"/>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3333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56</Pages>
  <Words>12380</Words>
  <Characters>70571</Characters>
  <Application>Microsoft Office Word</Application>
  <DocSecurity>0</DocSecurity>
  <Lines>588</Lines>
  <Paragraphs>165</Paragraphs>
  <ScaleCrop>false</ScaleCrop>
  <Company/>
  <LinksUpToDate>false</LinksUpToDate>
  <CharactersWithSpaces>82786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Other-Regarding Preferences With an Application to Contract Design</dc:title>
  <dc:subject/>
  <dc:creator/>
  <dc:description/>
  <cp:lastModifiedBy>Joao Eira</cp:lastModifiedBy>
  <cp:revision>12</cp:revision>
  <dcterms:created xsi:type="dcterms:W3CDTF">2018-03-07T14:18:00Z</dcterms:created>
  <dcterms:modified xsi:type="dcterms:W3CDTF">2018-03-07T14:19:00Z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