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Clique em Sign Up.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547" cy="34856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547" cy="348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Preencha o formulário.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4899" cy="38719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899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03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Clique em “</w:t>
      </w:r>
      <w:r w:rsidDel="00000000" w:rsidR="00000000" w:rsidRPr="00000000">
        <w:rPr>
          <w:b w:val="1"/>
          <w:rtl w:val="0"/>
        </w:rPr>
        <w:t xml:space="preserve">Get statrted with Community Edition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Passo 04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Verifique seu e-mail.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