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ETAPA 5 — PAPÉIS DE TRABALHO APROFUNDADOS</w:t>
      </w:r>
    </w:p>
    <w:p>
      <w:r>
        <w:t>PT 320 • PT 520 • PT 530 • PT 500 | Período encerrado em 31/12/2025 | Versão acadêmica preliminar</w:t>
      </w:r>
    </w:p>
    <w:p>
      <w:r>
        <w:t>Escopo: informações públicas da CSN Mineração S.A., demonstrações consolidadas de 2025 com comparativos de 2024, e simulação sintética de registros do imobilizado. Nenhum procedimento descrito como simulado constitui auditoria realizada na entidade.</w:t>
      </w:r>
    </w:p>
    <w:p>
      <w:pPr>
        <w:pStyle w:val="Heading1"/>
      </w:pPr>
      <w:r>
        <w:t>PT 320 — Materialidade no planejamento e execução</w:t>
      </w:r>
    </w:p>
    <w:p>
      <w:r>
        <w:t>Objetivo: definir parâmetros quantitativos para direcionar os procedimentos, sem dispensar a avaliação qualitativa de distorções. Base de referência: receita líquida consolidada de 2025, R$ 18.025.121 mil (DFP 2025, página impressa 13).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Indicador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Materialidade global (0,5% da receita)</w:t>
            </w:r>
          </w:p>
        </w:tc>
        <w:tc>
          <w:tcPr>
            <w:tcW w:type="dxa" w:w="4320"/>
          </w:tcPr>
          <w:p>
            <w:r>
              <w:t>R$ 90,125,605.00</w:t>
            </w:r>
          </w:p>
        </w:tc>
      </w:tr>
      <w:tr>
        <w:tc>
          <w:tcPr>
            <w:tcW w:type="dxa" w:w="4320"/>
          </w:tcPr>
          <w:p>
            <w:r>
              <w:t>Materialidade de execução (75%)</w:t>
            </w:r>
          </w:p>
        </w:tc>
        <w:tc>
          <w:tcPr>
            <w:tcW w:type="dxa" w:w="4320"/>
          </w:tcPr>
          <w:p>
            <w:r>
              <w:t>R$ 67,594,203.75</w:t>
            </w:r>
          </w:p>
        </w:tc>
      </w:tr>
      <w:tr>
        <w:tc>
          <w:tcPr>
            <w:tcW w:type="dxa" w:w="4320"/>
          </w:tcPr>
          <w:p>
            <w:r>
              <w:t>Diferença claramente trivial (5%)</w:t>
            </w:r>
          </w:p>
        </w:tc>
        <w:tc>
          <w:tcPr>
            <w:tcW w:type="dxa" w:w="4320"/>
          </w:tcPr>
          <w:p>
            <w:r>
              <w:t>R$ 4,506,280.25</w:t>
            </w:r>
          </w:p>
        </w:tc>
      </w:tr>
      <w:tr>
        <w:tc>
          <w:tcPr>
            <w:tcW w:type="dxa" w:w="4320"/>
          </w:tcPr>
          <w:p>
            <w:r>
              <w:t>Imobilizado / materialidade global</w:t>
            </w:r>
          </w:p>
        </w:tc>
        <w:tc>
          <w:tcPr>
            <w:tcW w:type="dxa" w:w="4320"/>
          </w:tcPr>
          <w:p>
            <w:r>
              <w:t>122.0 vezes</w:t>
            </w:r>
          </w:p>
        </w:tc>
      </w:tr>
    </w:tbl>
    <w:p>
      <w:r>
        <w:t>Os percentuais são premissas didáticas e não taxas prescritas pela NBC TA 320. A escolha de benchmark e fatores exige julgamento profissional, consideração do perfil dos usuários e reavaliação conforme novas evidências. O limiar trivial não equivale a tolerância automática a erros.</w:t>
      </w:r>
    </w:p>
    <w:p>
      <w:pPr>
        <w:pStyle w:val="Heading1"/>
      </w:pPr>
      <w:r>
        <w:t>PT 520 — Procedimentos analíticos preliminares</w:t>
      </w:r>
    </w:p>
    <w:p>
      <w:r>
        <w:t>Objetivo: identificar relações e variações incomuns que demandem investigação. Cálculo: (saldo 2025 − saldo 2024) / |saldo 2024|. Valores em R$ bilhões, arredondados.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Indicador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Ativo total</w:t>
            </w:r>
          </w:p>
        </w:tc>
        <w:tc>
          <w:tcPr>
            <w:tcW w:type="dxa" w:w="4320"/>
          </w:tcPr>
          <w:p>
            <w:r>
              <w:t>36,391 → 33,554 bi (-7.8%)</w:t>
            </w:r>
          </w:p>
        </w:tc>
      </w:tr>
      <w:tr>
        <w:tc>
          <w:tcPr>
            <w:tcW w:type="dxa" w:w="4320"/>
          </w:tcPr>
          <w:p>
            <w:r>
              <w:t>Imobilizado</w:t>
            </w:r>
          </w:p>
        </w:tc>
        <w:tc>
          <w:tcPr>
            <w:tcW w:type="dxa" w:w="4320"/>
          </w:tcPr>
          <w:p>
            <w:r>
              <w:t>9,705 → 10,994 bi (+13.3%)</w:t>
            </w:r>
          </w:p>
        </w:tc>
      </w:tr>
      <w:tr>
        <w:tc>
          <w:tcPr>
            <w:tcW w:type="dxa" w:w="4320"/>
          </w:tcPr>
          <w:p>
            <w:r>
              <w:t>Caixa e equivalentes</w:t>
            </w:r>
          </w:p>
        </w:tc>
        <w:tc>
          <w:tcPr>
            <w:tcW w:type="dxa" w:w="4320"/>
          </w:tcPr>
          <w:p>
            <w:r>
              <w:t>15,186 → 8,872 bi (-41.6%)</w:t>
            </w:r>
          </w:p>
        </w:tc>
      </w:tr>
      <w:tr>
        <w:tc>
          <w:tcPr>
            <w:tcW w:type="dxa" w:w="4320"/>
          </w:tcPr>
          <w:p>
            <w:r>
              <w:t>Receita líquida</w:t>
            </w:r>
          </w:p>
        </w:tc>
        <w:tc>
          <w:tcPr>
            <w:tcW w:type="dxa" w:w="4320"/>
          </w:tcPr>
          <w:p>
            <w:r>
              <w:t>16,496 → 18,025 bi (+9.3%)</w:t>
            </w:r>
          </w:p>
        </w:tc>
      </w:tr>
      <w:tr>
        <w:tc>
          <w:tcPr>
            <w:tcW w:type="dxa" w:w="4320"/>
          </w:tcPr>
          <w:p>
            <w:r>
              <w:t>Lucro líquido</w:t>
            </w:r>
          </w:p>
        </w:tc>
        <w:tc>
          <w:tcPr>
            <w:tcW w:type="dxa" w:w="4320"/>
          </w:tcPr>
          <w:p>
            <w:r>
              <w:t>4,528 → 1,649 bi (-63.6%)</w:t>
            </w:r>
          </w:p>
        </w:tc>
      </w:tr>
    </w:tbl>
    <w:p>
      <w:r>
        <w:t>Leitura preliminar: aumento do imobilizado e queda de caixa requerem investigação das adições, projetos em andamento, baixas, fluxos de investimento e financiamentos. A redução do lucro, apesar do crescimento da receita, requer análise das despesas financeiras, câmbio e demais efeitos. Variações isoladas não constituem evidência de distorção.</w:t>
      </w:r>
    </w:p>
    <w:p>
      <w:r>
        <w:t>Procedimentos adicionais planejados: confrontar movimentações de imobilizado com notas explicativas e DFC; obter razão auxiliar, documentos de aquisição, relatórios de projetos, inventário físico e memórias de depreciação, caso houvesse acesso interno.</w:t>
      </w:r>
    </w:p>
    <w:p>
      <w:pPr>
        <w:pStyle w:val="Heading1"/>
      </w:pPr>
      <w:r>
        <w:t>PT 530 — Amostragem de auditoria</w:t>
      </w:r>
    </w:p>
    <w:p>
      <w:r>
        <w:t>População sintética: 500.000 ativos. A amostra de 400 registros contém 280 seleções dirigidas (todas as exceções inseridas) e 120 seleções aleatórias. A seleção dirigida é intencional e não probabilística; não é válido extrapolar sua frequência para a população real.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Indicador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Total de registros sintéticos</w:t>
            </w:r>
          </w:p>
        </w:tc>
        <w:tc>
          <w:tcPr>
            <w:tcW w:type="dxa" w:w="4320"/>
          </w:tcPr>
          <w:p>
            <w:r>
              <w:t>500.000</w:t>
            </w:r>
          </w:p>
        </w:tc>
      </w:tr>
      <w:tr>
        <w:tc>
          <w:tcPr>
            <w:tcW w:type="dxa" w:w="4320"/>
          </w:tcPr>
          <w:p>
            <w:r>
              <w:t>Exceções artificiais</w:t>
            </w:r>
          </w:p>
        </w:tc>
        <w:tc>
          <w:tcPr>
            <w:tcW w:type="dxa" w:w="4320"/>
          </w:tcPr>
          <w:p>
            <w:r>
              <w:t>280 (0,056% da base)</w:t>
            </w:r>
          </w:p>
        </w:tc>
      </w:tr>
      <w:tr>
        <w:tc>
          <w:tcPr>
            <w:tcW w:type="dxa" w:w="4320"/>
          </w:tcPr>
          <w:p>
            <w:r>
              <w:t>Amostra dirigida</w:t>
            </w:r>
          </w:p>
        </w:tc>
        <w:tc>
          <w:tcPr>
            <w:tcW w:type="dxa" w:w="4320"/>
          </w:tcPr>
          <w:p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Amostra aleatória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Total selecionado</w:t>
            </w:r>
          </w:p>
        </w:tc>
        <w:tc>
          <w:tcPr>
            <w:tcW w:type="dxa" w:w="4320"/>
          </w:tcPr>
          <w:p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Saldo sintético conciliado</w:t>
            </w:r>
          </w:p>
        </w:tc>
        <w:tc>
          <w:tcPr>
            <w:tcW w:type="dxa" w:w="4320"/>
          </w:tcPr>
          <w:p>
            <w:r>
              <w:t>R$ 10,994,169,000.00</w:t>
            </w:r>
          </w:p>
        </w:tc>
      </w:tr>
    </w:tbl>
    <w:p>
      <w:r>
        <w:t>As categorias de exceções artificiais são: 70 sem documento, 60 sem localização, 45 com data futura, 55 sem responsável e 50 com status inconsistente. A amostra dirigida foi construída para capturar essas exceções por desenho, portanto não é estimador imparcial de taxa de desvio.</w:t>
      </w:r>
    </w:p>
    <w:p>
      <w:r>
        <w:t>Procedimento simulado: verificar preenchimento e coerência de datas, documentos, responsáveis, localização, status e relação custo − depreciação = saldo líquido. Para concluir sobre existência, avaliação e direitos reais seriam necessárias inspeções e evidências externas/internas não disponíveis.</w:t>
      </w:r>
    </w:p>
    <w:p>
      <w:pPr>
        <w:pStyle w:val="Heading1"/>
      </w:pPr>
      <w:r>
        <w:t>PT 500 — Evidência de auditoria</w:t>
      </w:r>
    </w:p>
    <w:p>
      <w:r>
        <w:t>Fontes públicas: DFP 2025 v.2 da CSN Mineração, com BP consolidado na página impressa 11 e DRE na página impressa 13; notas explicativas e relatório do auditor independente incluídos no mesmo documento. Essas fontes suportam valores divulgados, não transações individualizadas.</w:t>
      </w:r>
    </w:p>
    <w:p>
      <w:r>
        <w:t>Fontes simuladas: CSV de 500 mil registros, amostras de 400 linhas e manifesto JSON da Etapa 3. A conciliação matemática exata de R$ 10.994.169.000 ao saldo divulgado é uma propriedade construída no conjunto sintético; não comprova integridade, existência ou mensuração dos ativos reais.</w:t>
      </w:r>
    </w:p>
    <w:p>
      <w:r>
        <w:t>Limitações: sem acesso a ERP, razão auxiliar, documentos fiscais, confirmações de terceiros, observação física, entrevistas com administração ou testes de controles. A opinião do auditor independente publicado não pode ser atribuída ao autor deste estudo.</w:t>
      </w:r>
    </w:p>
    <w:p>
      <w:pPr>
        <w:pStyle w:val="Heading1"/>
      </w:pPr>
      <w:r>
        <w:t>Conclusão integrada e próximos procedimentos</w:t>
      </w:r>
    </w:p>
    <w:p>
      <w:r>
        <w:t>A análise pública fornece uma base verificável para planejamento e priorização. A base sintética demonstra aplicação de testes, mas não sustenta conclusão sobre a eficácia de controles ou ausência de distorções na CSN Mineração. Os próximos papéis devem aprofundar as notas explicativas, os riscos por afirmação e a documentação das respostas, preservando a classificação de evidências.</w:t>
      </w:r>
    </w:p>
    <w:p>
      <w:r>
        <w:t>Referências internas: DFP 2025 CSN Mineração S.A., versão 2, páginas impressas 11, 13 e 110–113; manifesto e amostras da Etapa 3. Cálculos e premissas na planilha complementar da Etapa 5.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CSN MINERAÇÃO S.A. | DOSSIÊ ACADÊMICO DE AUDITORIA | 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