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6 | PAPÉIS DE TRABALHO COMPLEMENTARES</w:t>
      </w:r>
    </w:p>
    <w:p>
      <w:r>
        <w:t>CSN MINERAÇÃO S.A. | Demonstrações de 31/12/2025 | Dossiê acadêmico — versão preliminar</w:t>
      </w:r>
    </w:p>
    <w:p>
      <w:pPr>
        <w:pStyle w:val="Heading1"/>
      </w:pPr>
      <w:r>
        <w:t>Escopo e convenções</w:t>
      </w:r>
    </w:p>
    <w:p>
      <w:r>
        <w:t>Este documento aprofunda 23 papéis normativos ainda não desenvolvidos individualmente na Etapa 5 (PT 320, 500, 520 e 530). Procedimentos internos são apresentados como PLANEJADOS, nunca como executados. Dados da base de imobilizado são SIMULADOS. Valores e afirmações extraídos da DFP 2025 são EVIDÊNCIA PÚBLICA, sem que isso constitua auditoria independente pelo estudante.</w:t>
      </w:r>
    </w:p>
    <w:p>
      <w:r>
        <w:t>Referência de páginas: “p.” indica a numeração impressa no rodapé da DFP 2025, versão 2; no leitor de PDF, normalmente corresponde à página física seguinte. Todos os valores das demonstrações estão em R$ mil, salvo indicação diferente.</w:t>
      </w:r>
    </w:p>
    <w:p>
      <w:pPr>
        <w:pStyle w:val="Heading1"/>
      </w:pPr>
      <w:r>
        <w:t>PT EC — Estrutura Conceitual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Distinguir objeto, critérios, parte responsável, usuário e nível de asseguração.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DFP 2025, demonstrações individuais e consolidadas; relatório independente nas páginas impressas 110–113.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Descrever administração como responsável pela elaboração; auditor independente como responsável pela opinião; estudante apenas por estudo documental.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Estrutura conceitual documentada; nenhuma asseguração emitida pelo estudante.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200 — Objetivos gerais e ética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Definir ceticismo, julgamento, independência e risco de auditoria.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Relatório independente p.110 e memorando da Etapa 2.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Elaborar declaração acadêmica de independência; identificar risco de detecção decorrente da ausência de acesso a documentos internos.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Ética e limites descritos; não houve auditoria contratada.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210 — Termos do trabalho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Avaliar pré-condições e documentar condições de contratação.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DFP 2025 e minuta acadêmica de carta de contratação.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Preparar carta modelo contendo objetivo, responsabilidades, estrutura contábil, acesso a informações e formato de relatório.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Carta apenas ilustrativa, não enviada nem aceita.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220 — Gestão da qualidade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Estabelecer supervisão, consultas e revisão de qualidade.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Índice dos PTs e versões dos entregáveis acadêmicos.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Criar checklist de preparação, conferência aritmética, revisão de referências e controle de versões; identificar revisor como pendente.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Revisão de qualidade por profissional habilitado não realizada.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230 — Documentação de auditoria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Garantir rastreabilidade de fonte, preparador, objetivo e resultado.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DFP v.2; planilhas das etapas 1–5; CSV, código e manifesto sintéticos.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Aplicar cabeçalho padronizado, referência cruzada, evidência utilizada, limitação, conclusão e data em cada PT.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Documentação acadêmica estruturada; revisão final pendente.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240 — Responsabilidade relativa a fraude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Considerar risco de fraude em receita e burla de controles.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DRE consolidada p.13; receita 2025 de R$ 18.025.121 mil.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Planejar seleção de lançamentos incomuns de encerramento, testar corte de receita e examinar estimativas sujeitas a viés.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Riscos hipotéticos; nenhum lançamento real inspecionado.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250 — Leis e regulamentos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Mapear riscos de descumprimento legal com reflexo contábil.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Formulário de Referência 2026 e notas 22 e 24 da DFP.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Preparar mapa de obrigações tributárias, ambientais e societárias; solicitar correspondências regulatórias em auditoria real.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Não se conclui conformidade legal sem documentação e pareceres.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260 — Comunicação com governança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Estruturar comunicação sobre alcance, riscos e independência.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DFP 2025; riscos da Etapa 2; modelo de carta.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Preparar minuta de comunicação de riscos significativos e limitações de escopo, sem alegar envio.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Minuta não transmitida à administração ou governança.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265 — Deficiências de controles internos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Documentar achados por condição, critério, causa, efeito e recomendação.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280 exceções deliberadas na base sintética de imobilizado.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Simular achado por falta de documento e responsável; recomendar cadastro obrigatório, trilha de aprovação e revisão periódica.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SIMULAÇÃO DIDÁTICA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Achado exclusivamente fictício; não é deficiência constatada na companhia.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300 — Planejamento da auditoria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Definir estratégia, escopo e sequência de testes.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DFP 2025; materialidade preliminar de R$ 90.125.605; Etapa 2.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Priorizar imobilizado, intangíveis, contingências fiscais, receita e caixa; atribuir procedimentos por afirmação.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Planejamento acadêmico, não plano executado por equipe independente.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315 — Identificação e avaliação de riscos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Relacionar riscos a afirmações relevantes.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BP consolidado p.11 e DRE p.13; PAAs no parecer p.110–111.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Mapear existência/avaliação do imobilizado, recuperabilidade do intangível, completude de contingências e corte da receita.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Avaliação preliminar com fontes públicas, sem walkthroughs internos.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330 — Respostas aos riscos avaliados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Desenhar respostas substantivas e testes de controles.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Matriz de riscos da Etapa 2; notas 11, 12 e 22.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Planejar inspeção física do imobilizado, revisão de impairment, confirmações jurídicas e testes de corte.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Testes reais não executados; apenas desenho de procedimentos.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402 — Organizações prestadoras de serviços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Avaliar riscos de serviços terceirizados relevantes.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Formulário de Referência 2026; documentos públicos sobre estrutura operacional.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Identificar serviços que afetem registros; planejar avaliação de controles complementares e relatórios de asseguração disponíveis.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Sem contratos ou relatórios de controles de prestadores.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450 — Avaliação de distorções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Acumular distorções monetárias identificadas e avaliar efeito.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280 exceções cadastrais sintéticas e limiar trivial acadêmico de R$ 4.506.280,25.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Criar registro de exceções e separar falhas cadastrais de distorções monetárias; solicitar cálculo por ativo antes de projetar erros.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Não foi quantificada distorção contábil; não há extrapolação monetária.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501 — Evidência — considerações específicas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Planejar procedimentos sobre estoques, litígios e segmentos.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BP consolidado p.11: estoques circulantes R$ 825.422 mil; estoques LP R$ 2.073.526 mil; nota 22.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Planejar observação de inventário, avaliação de estoques de longo prazo e comunicação direta com assessores jurídicos.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Sem observação de inventário nem cartas a advogados.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505 — Confirmações externas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Preparar confirmações de saldos e direitos.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BP consolidado p.11: caixa R$ 8.871.892 mil; contas a receber R$ 1.914.795 mil.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Preparar modelos de circularização de bancos, clientes e assessores jurídicos; documentar controles sobre envio e retorno.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Nenhuma confirmação emitida ou recebida.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510 — Saldos iniciais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Comparar abertura de 2025 com encerramento de 2024.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Colunas 2024/2025 da DFP 2025 e DFP 2024 separada.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Reconciliar saldos comparativos por rubrica; verificar reclassificações divulgadas e políticas contábeis.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Conciliação entre apresentações públicas não substitui papéis do auditor anterior.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540 — Estimativas contábeis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Analisar estimativas significativas e incerteza.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PAA de impairment p.110–111: intangível de vida indefinida R$ 3.236 milhões; PAA de provisões fiscais p.111.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Planejar confronto de taxas de desconto, fluxos projetados, cenários e prognósticos jurídicos; documentar sensibilidade.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Sem modelos gerenciais, orçamentos aprovados ou confirmações jurídicas próprias.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550 — Partes relacionadas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Avaliar identificação, transações e divulgação.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Nota 24 da DFP 2025: participação controladora da CSN informada em 69,01%.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Mapear controladora, controladas e joint ventures; planejar inspeção de contratos, atas e condições das transações.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Completude de operações não testada sem livros e contratos.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560 — Eventos subsequentes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Definir pesquisa entre data-base e data do relatório.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DFP 2025; relatório independente e documentos societários públicos.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Fixar data de corte em revisão posterior; confrontar fatos relevantes, atas e divulgações oficiais do período.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Pesquisa de eventos subsequentes não concluída nesta etapa.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570 — Continuidade operacional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Avaliar sinais de risco de liquidez e capacidade de continuidade.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BP p.11–12: caixa R$ 8.871.892 mil; passivo circulante R$ 10.039.250 mil; ativo circulante R$ 12.084.606 mil.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Calcular liquidez corrente e discutir endividamento, vencimentos, covenants e fluxos futuros; solicitar projeções de caixa.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PÚBLICO + PLANEJADO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Indicadores públicos não substituem avaliação de continuidade da administração.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580 — Representações formais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Estruturar declarações da administração.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Modelo acadêmico de carta; DFP 2025.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Preparar minuta cobrindo integridade de informações, estimativas, litígios, partes relacionadas e eventos posteriores.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Não assinada; representações não substituem evidência.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PT 600 — Auditoria de demonstrações de grupos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1814"/>
          </w:tcPr>
          <w:p>
            <w:r>
              <w:t>Objetivo</w:t>
            </w:r>
          </w:p>
        </w:tc>
        <w:tc>
          <w:tcPr>
            <w:tcW w:type="dxa" w:w="7087"/>
          </w:tcPr>
          <w:p>
            <w:r>
              <w:t>Mapear componentes e consolidação.</w:t>
            </w:r>
          </w:p>
        </w:tc>
      </w:tr>
      <w:tr>
        <w:tc>
          <w:tcPr>
            <w:tcW w:type="dxa" w:w="1814"/>
          </w:tcPr>
          <w:p>
            <w:r>
              <w:t>Evidência pública</w:t>
            </w:r>
          </w:p>
        </w:tc>
        <w:tc>
          <w:tcPr>
            <w:tcW w:type="dxa" w:w="7087"/>
          </w:tcPr>
          <w:p>
            <w:r>
              <w:t>BP individual p.2 e consolidado p.11; nota 24.</w:t>
            </w:r>
          </w:p>
        </w:tc>
      </w:tr>
      <w:tr>
        <w:tc>
          <w:tcPr>
            <w:tcW w:type="dxa" w:w="1814"/>
          </w:tcPr>
          <w:p>
            <w:r>
              <w:t>Procedimento e resposta</w:t>
            </w:r>
          </w:p>
        </w:tc>
        <w:tc>
          <w:tcPr>
            <w:tcW w:type="dxa" w:w="7087"/>
          </w:tcPr>
          <w:p>
            <w:r>
              <w:t>Identificar componentes, diferenças individual/consolidado, eliminações e escopo hipotético de auditores de componentes.</w:t>
            </w:r>
          </w:p>
        </w:tc>
      </w:tr>
      <w:tr>
        <w:tc>
          <w:tcPr>
            <w:tcW w:type="dxa" w:w="1814"/>
          </w:tcPr>
          <w:p>
            <w:r>
              <w:t>Classificação</w:t>
            </w:r>
          </w:p>
        </w:tc>
        <w:tc>
          <w:tcPr>
            <w:tcW w:type="dxa" w:w="7087"/>
          </w:tcPr>
          <w:p>
            <w:r>
              <w:t>PLANEJADO SEM ACESSO</w:t>
            </w:r>
          </w:p>
        </w:tc>
      </w:tr>
      <w:tr>
        <w:tc>
          <w:tcPr>
            <w:tcW w:type="dxa" w:w="1814"/>
          </w:tcPr>
          <w:p>
            <w:r>
              <w:t>Resultado e limite</w:t>
            </w:r>
          </w:p>
        </w:tc>
        <w:tc>
          <w:tcPr>
            <w:tcW w:type="dxa" w:w="7087"/>
          </w:tcPr>
          <w:p>
            <w:r>
              <w:t>Sem instruções, comunicação ou evidência de auditores de componentes.</w:t>
            </w:r>
          </w:p>
        </w:tc>
      </w:tr>
      <w:tr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7087"/>
          </w:tcPr>
          <w:p>
            <w:r>
              <w:t>Minuta acadêmica; revisão e conclusão final pendentes</w:t>
            </w:r>
          </w:p>
        </w:tc>
      </w:tr>
    </w:tbl>
    <w:p>
      <w:r>
        <w:t>Referência cruzada: matriz da Etapa 4; planejamento da Etapa 2; testes aprofundados da Etapa 5, quando aplicável.</w:t>
      </w:r>
    </w:p>
    <w:p>
      <w:pPr>
        <w:pStyle w:val="Heading1"/>
      </w:pPr>
      <w:r>
        <w:t>Quadro de cálculos públicos adicionais</w:t>
      </w:r>
    </w:p>
    <w:p>
      <w:pPr>
        <w:pStyle w:val="ListBullet"/>
      </w:pPr>
      <w:r>
        <w:t>Liquidez corrente consolidada (AC/PC): 1.204</w:t>
      </w:r>
    </w:p>
    <w:p>
      <w:pPr>
        <w:pStyle w:val="ListBullet"/>
      </w:pPr>
      <w:r>
        <w:t>Imobilizado/ativo total: 32.77%</w:t>
      </w:r>
    </w:p>
    <w:p>
      <w:pPr>
        <w:pStyle w:val="ListBullet"/>
      </w:pPr>
      <w:r>
        <w:t>Caixa/passivo circulante: 88.37%</w:t>
      </w:r>
    </w:p>
    <w:p>
      <w:pPr>
        <w:pStyle w:val="ListBullet"/>
      </w:pPr>
      <w:r>
        <w:t>Capital circulante líquido consolidado: R$ 2,045,356 mil</w:t>
      </w:r>
    </w:p>
    <w:p>
      <w:r>
        <w:t>Esses indicadores são análises aritméticas de informações públicas, não atestados de solvência ou continuidade.</w:t>
      </w:r>
    </w:p>
    <w:p>
      <w:pPr>
        <w:pStyle w:val="Heading1"/>
      </w:pPr>
      <w:r>
        <w:t>Pendências de integração antes da versão final</w:t>
      </w:r>
    </w:p>
    <w:p>
      <w:pPr>
        <w:pStyle w:val="ListBullet"/>
      </w:pPr>
      <w:r>
        <w:t>Conferir a lista original dos 28 papéis exigidos; os códigos normativos disponíveis somam 27, e PT SÍNTESE foi acrescentado como complementar.</w:t>
      </w:r>
    </w:p>
    <w:p>
      <w:pPr>
        <w:pStyle w:val="ListBullet"/>
      </w:pPr>
      <w:r>
        <w:t>Checar URLs, datas de acesso e páginas específicas de todas as fontes, sobretudo das notas 11, 12, 22 e 24.</w:t>
      </w:r>
    </w:p>
    <w:p>
      <w:pPr>
        <w:pStyle w:val="ListBullet"/>
      </w:pPr>
      <w:r>
        <w:t>Validar a consistência entre a planilha de materialidade da Etapa 2 e os cálculos da Etapa 5, eliminando arredondamentos divergentes.</w:t>
      </w:r>
    </w:p>
    <w:p>
      <w:pPr>
        <w:pStyle w:val="ListBullet"/>
      </w:pPr>
      <w:r>
        <w:t>Separar com destaque visual “resultado público”, “procedimento planejado” e “resultado simulado” no dossiê final.</w:t>
      </w:r>
    </w:p>
    <w:p>
      <w:pPr>
        <w:pStyle w:val="ListBullet"/>
      </w:pPr>
      <w:r>
        <w:t>Não emitir opinião própria de auditoria sobre a CSN Mineração; reproduzir a opinião externa apenas com atribuição.</w:t>
      </w:r>
    </w:p>
    <w:p>
      <w:pPr>
        <w:pStyle w:val="ListBullet"/>
      </w:pPr>
      <w:r>
        <w:t>Verificar a base e o código da Etapa 3 para assegurar reprodutibilidade, distribuição de exceções e integridade das amostras.</w:t>
      </w:r>
    </w:p>
    <w:p>
      <w:pPr>
        <w:pStyle w:val="Heading1"/>
      </w:pPr>
      <w:r>
        <w:t>Fontes-base</w:t>
      </w:r>
    </w:p>
    <w:p>
      <w:r>
        <w:t>CSN Mineração S.A. DFP — Demonstrações Financeiras Padronizadas, 31/12/2025, versão 2, especialmente páginas impressas 11–13, 110–113, e notas explicativas 11, 12, 22 e 24. Formulário de Referência 2026 da CSN Mineração. Base de dados sintética e manifesto da Etapa 3. Documentos de planejamento e análises das Etapas 1–5.</w:t>
      </w:r>
    </w:p>
    <w:sectPr w:rsidR="00FC693F" w:rsidRPr="0006063C" w:rsidSect="00034616"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D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