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Memorando preliminar de planejamento da auditoria</w:t>
      </w:r>
    </w:p>
    <w:p>
      <w:r>
        <w:t>CSN Mineração S.A. — demonstrações individuais e consolidadas de 31 de dezembro de 2025</w:t>
        <w:br/>
        <w:t>Etapa 2 | Trabalho acadêmico com informações públicas e simulação didática</w:t>
      </w:r>
    </w:p>
    <w:p>
      <w:pPr>
        <w:pStyle w:val="Heading1"/>
      </w:pPr>
      <w:r>
        <w:t>1. Objetivo, escopo e limitações</w:t>
      </w:r>
    </w:p>
    <w:p>
      <w:r>
        <w:t>Planejar procedimentos de auditoria de demonstrações financeiras de 2025, com comparativos de 2024, a partir da DFP pública da CSN Mineração S.A. A equipe acadêmica não tem acesso ao razão, contratos, confirmações, inspeções ou documentação de controles da companhia. Procedimentos dependentes desses documentos são propostas de auditoria, não testes realizados. A base de 500 mil registros será sintética e nunca será descrita como dado real da empresa.</w:t>
      </w:r>
    </w:p>
    <w:p>
      <w:pPr>
        <w:pStyle w:val="Heading1"/>
      </w:pPr>
      <w:r>
        <w:t>2. Fontes e bases de apresentação</w:t>
      </w:r>
    </w:p>
    <w:p>
      <w:r>
        <w:t>Fonte principal: DFP — Demonstrações Financeiras Padronizadas — 31/12/2025 — CSN MINERAÇÃO S.A., versão 2, 118 páginas (numeração interna 1–117). BP consolidado: página interna 11; DRE consolidada: página 13; relatório de auditor independente: páginas internas 110 em diante. Todos os montantes abaixo estão em R$ mil, salvo indicação contrária. A DFP inclui os comparativos de 2024. O arquivo de demonstrações da Companhia Siderúrgica Nacional (CSNA3) não deve ser usado como se fosse da CMIN3.</w:t>
      </w:r>
    </w:p>
    <w:p>
      <w:pPr>
        <w:pStyle w:val="Heading1"/>
      </w:pPr>
      <w:r>
        <w:t>3. Dados relevantes do balanço consolidado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Conta</w:t>
            </w:r>
          </w:p>
        </w:tc>
        <w:tc>
          <w:tcPr>
            <w:tcW w:type="dxa" w:w="2880"/>
          </w:tcPr>
          <w:p>
            <w:r>
              <w:t>2025 (R$ mil)</w:t>
            </w:r>
          </w:p>
        </w:tc>
        <w:tc>
          <w:tcPr>
            <w:tcW w:type="dxa" w:w="2880"/>
          </w:tcPr>
          <w:p>
            <w:r>
              <w:t>Fonte</w:t>
            </w:r>
          </w:p>
        </w:tc>
      </w:tr>
      <w:tr>
        <w:tc>
          <w:tcPr>
            <w:tcW w:type="dxa" w:w="2880"/>
          </w:tcPr>
          <w:p>
            <w:r>
              <w:t>Ativo total</w:t>
            </w:r>
          </w:p>
        </w:tc>
        <w:tc>
          <w:tcPr>
            <w:tcW w:type="dxa" w:w="2880"/>
          </w:tcPr>
          <w:p>
            <w:r>
              <w:t>33.553.574</w:t>
            </w:r>
          </w:p>
        </w:tc>
        <w:tc>
          <w:tcPr>
            <w:tcW w:type="dxa" w:w="2880"/>
          </w:tcPr>
          <w:p>
            <w:r>
              <w:t>DFP p.11</w:t>
            </w:r>
          </w:p>
        </w:tc>
      </w:tr>
      <w:tr>
        <w:tc>
          <w:tcPr>
            <w:tcW w:type="dxa" w:w="2880"/>
          </w:tcPr>
          <w:p>
            <w:r>
              <w:t>Imobilizado</w:t>
            </w:r>
          </w:p>
        </w:tc>
        <w:tc>
          <w:tcPr>
            <w:tcW w:type="dxa" w:w="2880"/>
          </w:tcPr>
          <w:p>
            <w:r>
              <w:t>10.994.169</w:t>
            </w:r>
          </w:p>
        </w:tc>
        <w:tc>
          <w:tcPr>
            <w:tcW w:type="dxa" w:w="2880"/>
          </w:tcPr>
          <w:p>
            <w:r>
              <w:t>DFP p.11</w:t>
            </w:r>
          </w:p>
        </w:tc>
      </w:tr>
      <w:tr>
        <w:tc>
          <w:tcPr>
            <w:tcW w:type="dxa" w:w="2880"/>
          </w:tcPr>
          <w:p>
            <w:r>
              <w:t>Imobilizado em andamento</w:t>
            </w:r>
          </w:p>
        </w:tc>
        <w:tc>
          <w:tcPr>
            <w:tcW w:type="dxa" w:w="2880"/>
          </w:tcPr>
          <w:p>
            <w:r>
              <w:t>3.976.536</w:t>
            </w:r>
          </w:p>
        </w:tc>
        <w:tc>
          <w:tcPr>
            <w:tcW w:type="dxa" w:w="2880"/>
          </w:tcPr>
          <w:p>
            <w:r>
              <w:t>DFP p.11</w:t>
            </w:r>
          </w:p>
        </w:tc>
      </w:tr>
      <w:tr>
        <w:tc>
          <w:tcPr>
            <w:tcW w:type="dxa" w:w="2880"/>
          </w:tcPr>
          <w:p>
            <w:r>
              <w:t>Caixa e equivalentes</w:t>
            </w:r>
          </w:p>
        </w:tc>
        <w:tc>
          <w:tcPr>
            <w:tcW w:type="dxa" w:w="2880"/>
          </w:tcPr>
          <w:p>
            <w:r>
              <w:t>8.871.892</w:t>
            </w:r>
          </w:p>
        </w:tc>
        <w:tc>
          <w:tcPr>
            <w:tcW w:type="dxa" w:w="2880"/>
          </w:tcPr>
          <w:p>
            <w:r>
              <w:t>DFP p.11</w:t>
            </w:r>
          </w:p>
        </w:tc>
      </w:tr>
      <w:tr>
        <w:tc>
          <w:tcPr>
            <w:tcW w:type="dxa" w:w="2880"/>
          </w:tcPr>
          <w:p>
            <w:r>
              <w:t>Intangível</w:t>
            </w:r>
          </w:p>
        </w:tc>
        <w:tc>
          <w:tcPr>
            <w:tcW w:type="dxa" w:w="2880"/>
          </w:tcPr>
          <w:p>
            <w:r>
              <w:t>4.331.504</w:t>
            </w:r>
          </w:p>
        </w:tc>
        <w:tc>
          <w:tcPr>
            <w:tcW w:type="dxa" w:w="2880"/>
          </w:tcPr>
          <w:p>
            <w:r>
              <w:t>DFP p.11</w:t>
            </w:r>
          </w:p>
        </w:tc>
      </w:tr>
      <w:tr>
        <w:tc>
          <w:tcPr>
            <w:tcW w:type="dxa" w:w="2880"/>
          </w:tcPr>
          <w:p>
            <w:r>
              <w:t>Receita líquida</w:t>
            </w:r>
          </w:p>
        </w:tc>
        <w:tc>
          <w:tcPr>
            <w:tcW w:type="dxa" w:w="2880"/>
          </w:tcPr>
          <w:p>
            <w:r>
              <w:t>18.025.121</w:t>
            </w:r>
          </w:p>
        </w:tc>
        <w:tc>
          <w:tcPr>
            <w:tcW w:type="dxa" w:w="2880"/>
          </w:tcPr>
          <w:p>
            <w:r>
              <w:t>DFP p.13</w:t>
            </w:r>
          </w:p>
        </w:tc>
      </w:tr>
      <w:tr>
        <w:tc>
          <w:tcPr>
            <w:tcW w:type="dxa" w:w="2880"/>
          </w:tcPr>
          <w:p>
            <w:r>
              <w:t>Lucro antes de tributos</w:t>
            </w:r>
          </w:p>
        </w:tc>
        <w:tc>
          <w:tcPr>
            <w:tcW w:type="dxa" w:w="2880"/>
          </w:tcPr>
          <w:p>
            <w:r>
              <w:t>2.448.341</w:t>
            </w:r>
          </w:p>
        </w:tc>
        <w:tc>
          <w:tcPr>
            <w:tcW w:type="dxa" w:w="2880"/>
          </w:tcPr>
          <w:p>
            <w:r>
              <w:t>DFP p.13</w:t>
            </w:r>
          </w:p>
        </w:tc>
      </w:tr>
    </w:tbl>
    <w:p>
      <w:r>
        <w:t>O imobilizado equivale a aproximadamente 32,77% do ativo total consolidado. É o maior grupo individual do ativo, adotado como objeto da simulação de dados detalhados.</w:t>
      </w:r>
    </w:p>
    <w:p>
      <w:pPr>
        <w:pStyle w:val="Heading1"/>
      </w:pPr>
      <w:r>
        <w:t>4. Materialidade: cenário acadêmico inicial</w:t>
      </w:r>
    </w:p>
    <w:p>
      <w:r>
        <w:t>A NBC TA 320 exige julgamento profissional; percentuais abaixo são hipóteses didáticas, não percentuais impostos pela norma. Cenário A: 0,5% da receita líquida consolidada = R$ 90.125,605 mil. Cenário B: 1,0% do ativo total = R$ 335.535,74 mil. Para fins de planejamento inicial, seleciona-se provisoriamente o cenário A por oferecer parâmetro conservador em relação ao ativo; sua adequação deve ser reavaliada diante de expectativas dos usuários e sensibilidade do resultado.</w:t>
      </w:r>
    </w:p>
    <w:p>
      <w:r>
        <w:t>Materialidade global provisória: R$ 90.125,605 mil (aprox. R$ 90,13 milhões). Materialidade de execução ilustrativa: 70% = R$ 63.087,9235 mil. Limiar de distorções claramente triviais ilustrativo: 5% = R$ 4.506,28025 mil. Valores editáveis na planilha; nenhum desses percentuais é uma determinação da NBC TA.</w:t>
      </w:r>
    </w:p>
    <w:p>
      <w:pPr>
        <w:pStyle w:val="Heading1"/>
      </w:pPr>
      <w:r>
        <w:t>5. Riscos e respostas planejadas</w:t>
      </w:r>
    </w:p>
    <w:p>
      <w:pPr>
        <w:pStyle w:val="Heading2"/>
      </w:pPr>
      <w:r>
        <w:t>Imobilizado e obras em andamento</w:t>
      </w:r>
    </w:p>
    <w:p>
      <w:r>
        <w:t>Existência, capitalização indevida, vidas úteis, transferências de obras em andamento e recuperabilidade. Priorizar reconciliação, adições, inspeção e recálculo.</w:t>
      </w:r>
    </w:p>
    <w:p>
      <w:pPr>
        <w:pStyle w:val="Heading2"/>
      </w:pPr>
      <w:r>
        <w:t>Intangível de vida útil indefinida</w:t>
      </w:r>
    </w:p>
    <w:p>
      <w:r>
        <w:t>O auditor independente destaca como principal assunto de auditoria a avaliação do valor recuperável de R$ 3.236 milhões em intangíveis de vida indefinida. Planejar revisão de modelos, premissas e sensibilidade.</w:t>
      </w:r>
    </w:p>
    <w:p>
      <w:pPr>
        <w:pStyle w:val="Heading2"/>
      </w:pPr>
      <w:r>
        <w:t>Riscos fiscais</w:t>
      </w:r>
    </w:p>
    <w:p>
      <w:r>
        <w:t>Outro principal assunto de auditoria: provisão fiscal de R$ 7.023 mil e processos de perda possível de R$ 9.114.131 mil, conforme texto do auditor. Planejar revisão jurídica, classificação e divulgações.</w:t>
      </w:r>
    </w:p>
    <w:p>
      <w:pPr>
        <w:pStyle w:val="Heading2"/>
      </w:pPr>
      <w:r>
        <w:t>Receita e contas a receber</w:t>
      </w:r>
    </w:p>
    <w:p>
      <w:r>
        <w:t>Planejar testes de ocorrência, corte, confirmação e perdas esperadas.</w:t>
      </w:r>
    </w:p>
    <w:p>
      <w:pPr>
        <w:pStyle w:val="Heading2"/>
      </w:pPr>
      <w:r>
        <w:t>Caixa e passivos contratuais</w:t>
      </w:r>
    </w:p>
    <w:p>
      <w:r>
        <w:t>Planejar confirmações externas, conciliações e revisão de contratos e classificação.</w:t>
      </w:r>
    </w:p>
    <w:p>
      <w:pPr>
        <w:pStyle w:val="Heading1"/>
      </w:pPr>
      <w:r>
        <w:t>6. Opinião do auditor independente</w:t>
      </w:r>
    </w:p>
    <w:p>
      <w:r>
        <w:t>O relatório independente incluído na DFP expressa opinião sem modificação sobre as demonstrações individuais e consolidadas de 2025. A existência de principais assuntos de auditoria não constitui ressalva nem comprova distorção. Este trabalho acadêmico não substitui nem replica a auditoria independente realizada.</w:t>
      </w:r>
    </w:p>
    <w:p>
      <w:pPr>
        <w:pStyle w:val="Heading1"/>
      </w:pPr>
      <w:r>
        <w:t>7. Estratégia de evidência e execução</w:t>
      </w:r>
    </w:p>
    <w:p>
      <w:pPr>
        <w:pStyle w:val="ListBullet"/>
      </w:pPr>
      <w:r>
        <w:t>PÚBLICO — procedimento efetivamente realizado sobre informação publicada: conferência de saldos, análises de variação, leitura de notas e relatório.</w:t>
      </w:r>
    </w:p>
    <w:p>
      <w:pPr>
        <w:pStyle w:val="ListBullet"/>
      </w:pPr>
      <w:r>
        <w:t>PLANEJADO — procedimento não executado por falta de acesso interno: circularizações, inspeções, testes de controles e vouching de documentos.</w:t>
      </w:r>
    </w:p>
    <w:p>
      <w:pPr>
        <w:pStyle w:val="ListBullet"/>
      </w:pPr>
      <w:r>
        <w:t>SINTÉTICO — procedimento executável sobre base artificial, com geração reproduzível, reconciliação ao valor publicado, exceções rotuladas e amostragem documentada.</w:t>
      </w:r>
    </w:p>
    <w:p>
      <w:pPr>
        <w:pStyle w:val="Heading1"/>
      </w:pPr>
      <w:r>
        <w:t>8. Programas de auditoria e próximos entregáveis</w:t>
      </w:r>
    </w:p>
    <w:p>
      <w:r>
        <w:t>A planilha anexa contém seis programas: imobilizado; intangível; receita e recebíveis; caixa; passivos e contratos; provisões e contingências. Próximos passos: (i) confirmar o conjunto exato dos 28 PTs exigidos no enunciado; (ii) detalhar a metodologia de geração de 500 mil registros; (iii) produzir scripts, dicionário de dados e trilha de reconciliação; (iv) testar amostras e documentar conclusões separadas por natureza de evidência.</w:t>
      </w:r>
    </w:p>
    <w:p>
      <w:pPr>
        <w:pStyle w:val="Heading1"/>
      </w:pPr>
      <w:r>
        <w:t>9. Referências normativas para conferência</w:t>
      </w:r>
    </w:p>
    <w:p>
      <w:r>
        <w:t>NBC TA 200 (objetivos gerais); NBC TA 230 (documentação); NBC TA 300 (planejamento); NBC TA 315 (identificação e avaliação de riscos); NBC TA 320 (materialidade); NBC TA 330 (respostas aos riscos); NBC TA 500 (evidência); NBC TA 530 (amostragem); NBC TA 540 (estimativas); NBC TA 701 (principais assuntos de auditoria). Conferir versões vigentes no CFC e requisitos específicos do enunciado antes da entrega final.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DOSSIÊ DE AUDITORIA  |  CSN MINERAÇÃO S.A.  | 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A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3A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