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ETAPA 11 — Revisão e integração documental</w:t>
      </w:r>
    </w:p>
    <w:p>
      <w:r>
        <w:t>Relatório de controle de qualidade acadêmica | 24 de outubro de 2026</w:t>
      </w:r>
    </w:p>
    <w:p>
      <w:r>
        <w:t>Autor: João Francisco de Castro Albuquerque | Matrícula: 241021720</w:t>
      </w:r>
    </w:p>
    <w:p>
      <w:pPr>
        <w:pStyle w:val="Heading1"/>
      </w:pPr>
      <w:r>
        <w:t>1. Escopo e critério de revisão</w:t>
      </w:r>
    </w:p>
    <w:p>
      <w:r>
        <w:t>Conferência documental de três cadernos produzidos nas etapas anteriores, do pacote de dados sintéticos e dos materiais públicos disponibilizados. Esta etapa verifica presença e consistência estrutural; não equivale à conferência integral, item a item, das NBC TAs vigentes nem à execução de auditoria independente.</w:t>
      </w:r>
    </w:p>
    <w:p>
      <w:pPr>
        <w:pStyle w:val="Heading1"/>
      </w:pPr>
      <w:r>
        <w:t>2. Diagnóstico executivo</w:t>
      </w:r>
    </w:p>
    <w:p>
      <w:pPr>
        <w:pStyle w:val="ListBullet"/>
      </w:pPr>
      <w:r>
        <w:t>Os 27 códigos requeridos aparecem no dossiê consolidado e no caderno ampliado; presença de título não é evidência de conformidade integral com cada norma.</w:t>
      </w:r>
    </w:p>
    <w:p>
      <w:pPr>
        <w:pStyle w:val="ListBullet"/>
      </w:pPr>
      <w:r>
        <w:t>Os quatro PTs quantitativos (500, 520, 530 e 540) possuem caderno especializado; sua incorporação exige eliminar repetições e preservar as classificações fonte pública / planejado / simulado.</w:t>
      </w:r>
    </w:p>
    <w:p>
      <w:pPr>
        <w:pStyle w:val="ListBullet"/>
      </w:pPr>
      <w:r>
        <w:t>O saldo sintético do imobilizado foi calibrado para coincidir com o saldo consolidado publicado: R$ 10.994.169 mil. Essa igualdade é construção algorítmica, não teste independente.</w:t>
      </w:r>
    </w:p>
    <w:p>
      <w:pPr>
        <w:pStyle w:val="ListBullet"/>
      </w:pPr>
      <w:r>
        <w:t>280 exceções fictícias em 500.000 linhas = 0,056% da população simulada. A seleção dirigida de exceções não autoriza projeção estatística.</w:t>
      </w:r>
    </w:p>
    <w:p>
      <w:pPr>
        <w:pStyle w:val="ListBullet"/>
      </w:pPr>
      <w:r>
        <w:t>Não há evidência de acesso a livros auxiliares reais, confirmação externa, observação física ou inspeção dos controles internos da companhia.</w:t>
      </w:r>
    </w:p>
    <w:p>
      <w:pPr>
        <w:pStyle w:val="ListBullet"/>
      </w:pPr>
      <w:r>
        <w:t>Os documentos anteriores ainda contêm itens normativos e referências específicas que precisam de cotejo com as fontes oficiais antes de receber status de versão definitiva.</w:t>
      </w:r>
    </w:p>
    <w:p>
      <w:pPr>
        <w:pStyle w:val="Heading1"/>
      </w:pPr>
      <w:r>
        <w:t>3. Conferência de cobertura por PT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Consolidado</w:t>
            </w:r>
          </w:p>
        </w:tc>
        <w:tc>
          <w:tcPr>
            <w:tcW w:type="dxa" w:w="2160"/>
          </w:tcPr>
          <w:p>
            <w:r>
              <w:t>Ampliado</w:t>
            </w:r>
          </w:p>
        </w:tc>
        <w:tc>
          <w:tcPr>
            <w:tcW w:type="dxa" w:w="2160"/>
          </w:tcPr>
          <w:p>
            <w:r>
              <w:t>Especializado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265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315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450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</w:tr>
      <w:tr>
        <w:tc>
          <w:tcPr>
            <w:tcW w:type="dxa" w:w="2160"/>
          </w:tcPr>
          <w:p>
            <w:r>
              <w:t>501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505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</w:tr>
      <w:tr>
        <w:tc>
          <w:tcPr>
            <w:tcW w:type="dxa" w:w="2160"/>
          </w:tcPr>
          <w:p>
            <w:r>
              <w:t>530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</w:tr>
      <w:tr>
        <w:tc>
          <w:tcPr>
            <w:tcW w:type="dxa" w:w="2160"/>
          </w:tcPr>
          <w:p>
            <w:r>
              <w:t>540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</w:tr>
      <w:tr>
        <w:tc>
          <w:tcPr>
            <w:tcW w:type="dxa" w:w="2160"/>
          </w:tcPr>
          <w:p>
            <w:r>
              <w:t>550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560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570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  <w:tr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Presente</w:t>
            </w:r>
          </w:p>
        </w:tc>
        <w:tc>
          <w:tcPr>
            <w:tcW w:type="dxa" w:w="2160"/>
          </w:tcPr>
          <w:p>
            <w:r>
              <w:t>Não localizado</w:t>
            </w:r>
          </w:p>
        </w:tc>
      </w:tr>
    </w:tbl>
    <w:p>
      <w:r>
        <w:t>Critério automático: identificação literal do cabeçalho PT; a cobertura substantiva depende de revisão humana.</w:t>
      </w:r>
    </w:p>
    <w:p>
      <w:pPr>
        <w:pStyle w:val="Heading1"/>
      </w:pPr>
      <w:r>
        <w:t>4. Pendências críticas antes da entrega</w:t>
      </w:r>
    </w:p>
    <w:p>
      <w:pPr>
        <w:pStyle w:val="ListBullet"/>
      </w:pPr>
      <w:r>
        <w:t>[ALTA] NBC TAs: conferir versão, título e itens normativos específicos citados em cada um dos 27 PTs. Não preencher números de itens por suposição.</w:t>
      </w:r>
    </w:p>
    <w:p>
      <w:pPr>
        <w:pStyle w:val="ListBullet"/>
      </w:pPr>
      <w:r>
        <w:t>[ALTA] DFP 2025: cotejar saldo, unidade monetária, tipo de demonstração (consolidada), páginas e notas explicativas contra o PDF oficial versão 2.</w:t>
      </w:r>
    </w:p>
    <w:p>
      <w:pPr>
        <w:pStyle w:val="ListBullet"/>
      </w:pPr>
      <w:r>
        <w:t>[ALTA] Distinguir risco, exceção cadastral e distorção contábil monetária; não converter 280 falhas simuladas em ajuste financeiro.</w:t>
      </w:r>
    </w:p>
    <w:p>
      <w:pPr>
        <w:pStyle w:val="ListBullet"/>
      </w:pPr>
      <w:r>
        <w:t>[ALTA] Amostragem: documentar universo, critério de seleção, seed, unidade de amostragem, sobreposição, tratamento de exceções e limitações inferenciais.</w:t>
      </w:r>
    </w:p>
    <w:p>
      <w:pPr>
        <w:pStyle w:val="ListBullet"/>
      </w:pPr>
      <w:r>
        <w:t>[MÉDIA] Rever a caracterização de “maior conta do ativo”: comparar todas as linhas relevantes da DFP antes de afirmar primazia do imobilizado.</w:t>
      </w:r>
    </w:p>
    <w:p>
      <w:pPr>
        <w:pStyle w:val="ListBullet"/>
      </w:pPr>
      <w:r>
        <w:t>[MÉDIA] Conferir documentação de autoria, período, revisores em branco, anexos e referências cruzadas entre PTs e arquivos do GitHub.</w:t>
      </w:r>
    </w:p>
    <w:p>
      <w:pPr>
        <w:pStyle w:val="ListBullet"/>
      </w:pPr>
      <w:r>
        <w:t>[MÉDIA] Conferir direitos de redistribuição dos documentos oficiais no repositório público; preferir links oficiais quando necessário.</w:t>
      </w:r>
    </w:p>
    <w:p>
      <w:pPr>
        <w:pStyle w:val="ListBullet"/>
      </w:pPr>
      <w:r>
        <w:t>[MÉDIA] Atualizar README e inventário SHA-256 somente depois de congelar a versão de entrega.</w:t>
      </w:r>
    </w:p>
    <w:p>
      <w:pPr>
        <w:pStyle w:val="Heading1"/>
      </w:pPr>
      <w:r>
        <w:t>5. Decisão de qualidade</w:t>
      </w:r>
    </w:p>
    <w:p>
      <w:r>
        <w:t>STATUS: INTEGRADO PARA REVISÃO — NÃO HOMOLOGADO COMO ENTREGA DEFINITIVA. O documento integrado reúne as versões anteriores com separadores e conserva, por transparência, redundâncias entre os cadernos. A futura edição final deverá consolidar cada PT em texto único, sem duplicações.</w:t>
      </w:r>
    </w:p>
    <w:p>
      <w:pPr>
        <w:pStyle w:val="Heading1"/>
      </w:pPr>
      <w:r>
        <w:t>6. Checklist de fechamento</w:t>
      </w:r>
    </w:p>
    <w:p>
      <w:r>
        <w:t>☐ Conferir 27 PTs e os respectivos itens normativos na versão oficial aplicável</w:t>
      </w:r>
    </w:p>
    <w:p>
      <w:r>
        <w:t>☐ Conferir citações e páginas da DFP e Formulário de Referência</w:t>
      </w:r>
    </w:p>
    <w:p>
      <w:r>
        <w:t>☐ Revisar todos os cálculos e premissas de materialidade</w:t>
      </w:r>
    </w:p>
    <w:p>
      <w:r>
        <w:t>☐ Revalidar base de 500 mil registros e hashes</w:t>
      </w:r>
    </w:p>
    <w:p>
      <w:r>
        <w:t>☐ Eliminar duplicações entre os três cadernos</w:t>
      </w:r>
    </w:p>
    <w:p>
      <w:r>
        <w:t>☐ Gerar PDF final com sumário e paginação contínua</w:t>
      </w:r>
    </w:p>
    <w:p>
      <w:r>
        <w:t>☐ Conferir visualmente PDF/Word</w:t>
      </w:r>
    </w:p>
    <w:p>
      <w:r>
        <w:t>☐ Preparar atualização do README e pasta de publicação</w:t>
      </w:r>
    </w:p>
    <w:p>
      <w:r>
        <w:t>☐ Publicar no GitHub somente após a conferência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UNB | AUDITORIA 1 | CSN MINERAÇÃO S.A. | EXERCÍCIO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