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26"/>
        <w:gridCol w:w="7209"/>
      </w:tblGrid>
      <w:tr>
        <w:trPr/>
        <w:tc>
          <w:tcPr>
            <w:tcW w:w="1023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Documentação do sistema - BankAccount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ID: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UC001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Título: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ClientDataType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Ator principal: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Sistema, classe principal ClientManager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Objetivo: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Definir um tipo de dado ClientDataType</w:t>
            </w:r>
          </w:p>
          <w:p>
            <w:pPr>
              <w:pStyle w:val="TableContents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Deverá conter as propriedades: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idClient tipo de dado int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_n</w:t>
            </w:r>
            <w:r>
              <w:rPr>
                <w:rFonts w:ascii="Courier New" w:hAnsi="Courier New"/>
              </w:rPr>
              <w:t>ameClient tipo de dado String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ageClient tipo de dado inteiro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mailClient tipo de dado varChar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statusClient tipo de dado boolean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</w:rPr>
              <w:t>idAccount tipo de dado inteiro</w:t>
            </w:r>
          </w:p>
          <w:p>
            <w:pPr>
              <w:pStyle w:val="Normal"/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pt-BR"/>
              </w:rPr>
              <w:t>Deverá conter o conjunto de métodos: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clientData(), sem parâmetros de entrada, que retorna o conteúdo da variável local “data” do tipo String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Pré-condição: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O objeto derivado deverá fornecer os dados: idClient, nameClient, ageClient, mailClient, statusClient, idAccount</w:t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Pós-condição: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Um objeto contendo os dados do tipo ClientDataType.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Diagrama: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08500" cy="3366770"/>
                  <wp:effectExtent l="0" t="0" r="0" b="0"/>
                  <wp:wrapSquare wrapText="largest"/>
                  <wp:docPr id="1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336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principal: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O objeto derivado “client” conterá as propriedades e métodos a seguir: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client.getIdClient(): retorna o valor da variável privada _idClient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client.setIdClient(int idclient): define o valor da variável privada _idClient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client.getNameClient(): retorna o valor da variável privada _nameClient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client.setNameClient(String nameClient): define o valor da variável privada _nameClient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client.getAgeClient(): retorna o valor da variávele privada _ageClient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client.setAgeClient(int ageClient): define o valor da variável privada _ageClient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client.getMailClient(): retorna o valor da variável privada _mailClient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client.setMailClient(String mailClient): define o valor da variável privada _mailClient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client.getStatusClient(): retorna o valor da variável privada _statusClient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client.setStatusClient(boolean statusClient): define o valor da variável privada _statusClient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client.getIdAccount(): retorna o valor da variável privada _idAccount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client.setIdAccount(int idAccount): define o valor da variável privada _idAccount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Ao evocar client.clientData(): retorna os dados do objeto client em um formato contendo PROPRIEDADE: VALOR, um por linha.</w:t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opcional: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0235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alternativo: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Tratamento de exceções:</w:t>
            </w:r>
          </w:p>
        </w:tc>
        <w:tc>
          <w:tcPr>
            <w:tcW w:w="72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</w:tbl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835" w:right="835" w:gutter="0" w:header="547" w:top="1382" w:footer="0" w:bottom="5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-182880</wp:posOffset>
          </wp:positionV>
          <wp:extent cx="2121535" cy="484505"/>
          <wp:effectExtent l="0" t="0" r="0" b="0"/>
          <wp:wrapSquare wrapText="larges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-182880</wp:posOffset>
          </wp:positionV>
          <wp:extent cx="2121535" cy="484505"/>
          <wp:effectExtent l="0" t="0" r="0" b="0"/>
          <wp:wrapSquare wrapText="largest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19" w:leader="none"/>
        <w:tab w:val="right" w:pos="102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LibreOffice/24.2.7.2$Linux_X86_64 LibreOffice_project/420$Build-2</Application>
  <AppVersion>15.0000</AppVersion>
  <Pages>2</Pages>
  <Words>286</Words>
  <Characters>1828</Characters>
  <CharactersWithSpaces>2053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2025-01-26T10:45:46Z</dcterms:created>
  <dc:creator/>
  <dc:description/>
  <dc:language>en-US</dc:language>
  <cp:lastModifiedBy/>
  <dcterms:modified xsi:type="dcterms:W3CDTF">2025-01-27T19:52:19Z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