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6DBF" w:rsidRDefault="00D64AFE">
      <w:pPr>
        <w:jc w:val="center"/>
      </w:pPr>
      <w:r>
        <w:rPr>
          <w:b/>
          <w:sz w:val="32"/>
        </w:rPr>
        <w:t xml:space="preserve">P1 — </w:t>
      </w:r>
      <w:proofErr w:type="spellStart"/>
      <w:r>
        <w:rPr>
          <w:b/>
          <w:sz w:val="32"/>
        </w:rPr>
        <w:t>Finanças</w:t>
      </w:r>
      <w:proofErr w:type="spellEnd"/>
      <w:r>
        <w:rPr>
          <w:b/>
          <w:sz w:val="32"/>
        </w:rPr>
        <w:t xml:space="preserve"> e </w:t>
      </w:r>
      <w:proofErr w:type="spellStart"/>
      <w:r>
        <w:rPr>
          <w:b/>
          <w:sz w:val="32"/>
        </w:rPr>
        <w:t>Setor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Público</w:t>
      </w:r>
      <w:proofErr w:type="spellEnd"/>
      <w:r w:rsidR="007A75E5">
        <w:rPr>
          <w:b/>
          <w:sz w:val="32"/>
        </w:rPr>
        <w:br/>
        <w:t>João Paulo Cortes Da Cunha Dutra (241021838)</w:t>
      </w:r>
    </w:p>
    <w:p w:rsidR="00D86DBF" w:rsidRDefault="00D64AFE">
      <w:pPr>
        <w:jc w:val="center"/>
      </w:pPr>
      <w:r>
        <w:rPr>
          <w:b/>
          <w:sz w:val="32"/>
        </w:rPr>
        <w:t>Hungria, Camaçari/BA e Barreiras/BA</w:t>
      </w:r>
    </w:p>
    <w:p w:rsidR="00D86DBF" w:rsidRDefault="00D64AFE">
      <w:pPr>
        <w:pStyle w:val="Ttulo1"/>
      </w:pPr>
      <w:bookmarkStart w:id="0" w:name="_GoBack"/>
      <w:bookmarkEnd w:id="0"/>
      <w:r>
        <w:t>1. Introdução</w:t>
      </w:r>
    </w:p>
    <w:p w:rsidR="00D86DBF" w:rsidRDefault="00D64AFE">
      <w:pPr>
        <w:spacing w:after="120" w:line="259" w:lineRule="auto"/>
      </w:pPr>
      <w:r>
        <w:t>A análise de finanças públicas exige integrar bases contábeis, fiscais, econômicas e sociais. Neste trabalho, as receitas e despesas municipais foram extraídas do SICONFI/FINBRA, o PIB municipal do IBGE, o IPCA da Tabela 1737 do SIDRA/IBGE, a população municipal da Tabela 6579 do SIDRA/IBGE, o IDEB de QEdu/INEP e os indicadores da Hungria de bases internacionais e nacionais como Eurostat, Banco Mundial, OCDE e KSH. Os valores monetários municipais foram convertidos para valores reais de 2023 pela fórmula: Valor real = Valor nominal × (IPCA de 2023 / IPCA do ano).</w:t>
      </w:r>
    </w:p>
    <w:p w:rsidR="00D86DBF" w:rsidRDefault="00D64AFE">
      <w:pPr>
        <w:spacing w:after="120" w:line="259" w:lineRule="auto"/>
      </w:pPr>
      <w:r>
        <w:t>O objetivo é avaliar a capacidade fiscal, a composição das receitas, a estrutura das despesas, a relação entre gasto e resultado social, a proxy de carga tributária e a sensibilidade da receita ao PIB, além de discutir a configuração institucional da Hungria e seus efeitos sobre o financiamento de políticas públicas.</w:t>
      </w:r>
    </w:p>
    <w:p w:rsidR="00D86DBF" w:rsidRDefault="00D64AFE">
      <w:pPr>
        <w:pStyle w:val="Ttulo1"/>
      </w:pPr>
      <w:r>
        <w:t>2. Referencial teórico</w:t>
      </w:r>
    </w:p>
    <w:p w:rsidR="00D86DBF" w:rsidRDefault="00D64AFE">
      <w:pPr>
        <w:spacing w:after="120" w:line="259" w:lineRule="auto"/>
      </w:pPr>
      <w:r>
        <w:t>O referencial teórico do enunciado orienta uma leitura institucional e fiscal das finanças públicas. Bresser-Pereira contribui para a compreensão da reforma gerencial e da necessidade de eficiência estatal. Biderman e Arvate tratam as finanças públicas como campo de escolhas sob restrição orçamentária. Giambiagi e Além destacam o papel do Estado na estabilização, alocação e distribuição. Giacomoni fundamenta o orçamento público como instrumento de planejamento e controle. O PDRAE de 1995 reforça a profissionalização da administração pública, enquanto a abordagem de indicadores do ISC/TCU aproxima o controle externo da avaliação de desempenho e resultados.</w:t>
      </w:r>
    </w:p>
    <w:p w:rsidR="00D86DBF" w:rsidRDefault="00D64AFE">
      <w:pPr>
        <w:spacing w:after="120" w:line="259" w:lineRule="auto"/>
      </w:pPr>
      <w:r>
        <w:t>A partir desse arcabouço, a análise não se limita a descrever receitas e despesas. Ela avalia se a estrutura fiscal revela autonomia, dependência de transferências, capacidade de investimento e coerência entre gasto público e resultados sociais.</w:t>
      </w:r>
    </w:p>
    <w:p w:rsidR="00D86DBF" w:rsidRDefault="00D64AFE">
      <w:pPr>
        <w:pStyle w:val="Ttulo1"/>
      </w:pPr>
      <w:r>
        <w:t>3. Metodologia e bases de dados</w:t>
      </w:r>
    </w:p>
    <w:p w:rsidR="00D86DBF" w:rsidRDefault="00D64AFE">
      <w:pPr>
        <w:spacing w:after="120" w:line="259" w:lineRule="auto"/>
      </w:pPr>
      <w:r>
        <w:t>As bases foram organizadas em planilhas separadas por questão e em uma base consolidada. Para receitas e despesas, foram utilizadas contas anuais municipais do FINBRA/SICONFI, com foco em receitas brutas realizadas e despesas empenhadas. A correção monetária utiliza o IPCA número-índice de dezembro de cada ano, da Tabela 1737 do SIDRA/IBGE. O PIB municipal é o PIB a preços correntes, série revisada, do IBGE. Para indicadores sociais, utilizou-se IDEB dos anos iniciais da rede municipal, disponível no QEdu/INEP.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60"/>
        <w:gridCol w:w="3261"/>
        <w:gridCol w:w="3261"/>
      </w:tblGrid>
      <w:tr w:rsidR="00D86DBF">
        <w:tc>
          <w:tcPr>
            <w:tcW w:w="3264" w:type="dxa"/>
          </w:tcPr>
          <w:p w:rsidR="00D86DBF" w:rsidRDefault="00D64AFE">
            <w:r>
              <w:rPr>
                <w:b/>
              </w:rPr>
              <w:t>Base</w:t>
            </w:r>
          </w:p>
        </w:tc>
        <w:tc>
          <w:tcPr>
            <w:tcW w:w="3264" w:type="dxa"/>
          </w:tcPr>
          <w:p w:rsidR="00D86DBF" w:rsidRDefault="00D64AFE">
            <w:r>
              <w:rPr>
                <w:b/>
              </w:rPr>
              <w:t>Fonte</w:t>
            </w:r>
          </w:p>
        </w:tc>
        <w:tc>
          <w:tcPr>
            <w:tcW w:w="3264" w:type="dxa"/>
          </w:tcPr>
          <w:p w:rsidR="00D86DBF" w:rsidRDefault="00D64AFE">
            <w:r>
              <w:rPr>
                <w:b/>
              </w:rPr>
              <w:t>Caminho de obtenção</w:t>
            </w:r>
          </w:p>
        </w:tc>
      </w:tr>
      <w:tr w:rsidR="00D86DBF">
        <w:tc>
          <w:tcPr>
            <w:tcW w:w="3264" w:type="dxa"/>
          </w:tcPr>
          <w:p w:rsidR="00D86DBF" w:rsidRDefault="00D64AFE">
            <w:r>
              <w:t>Receitas municipais</w:t>
            </w:r>
          </w:p>
        </w:tc>
        <w:tc>
          <w:tcPr>
            <w:tcW w:w="3264" w:type="dxa"/>
          </w:tcPr>
          <w:p w:rsidR="00D86DBF" w:rsidRDefault="00D64AFE">
            <w:r>
              <w:t>SICONFI/FINBRA</w:t>
            </w:r>
          </w:p>
        </w:tc>
        <w:tc>
          <w:tcPr>
            <w:tcW w:w="3264" w:type="dxa"/>
          </w:tcPr>
          <w:p w:rsidR="00D86DBF" w:rsidRDefault="00D64AFE">
            <w:r>
              <w:t>Consultas &gt; FINBRA/Contas Anuais &gt; Municípios &gt; Receitas Orçamentárias &gt; Receitas Brutas Realizadas</w:t>
            </w:r>
          </w:p>
        </w:tc>
      </w:tr>
      <w:tr w:rsidR="00D86DBF">
        <w:tc>
          <w:tcPr>
            <w:tcW w:w="3264" w:type="dxa"/>
          </w:tcPr>
          <w:p w:rsidR="00D86DBF" w:rsidRDefault="00D64AFE">
            <w:r>
              <w:t>Despesas por natureza</w:t>
            </w:r>
          </w:p>
        </w:tc>
        <w:tc>
          <w:tcPr>
            <w:tcW w:w="3264" w:type="dxa"/>
          </w:tcPr>
          <w:p w:rsidR="00D86DBF" w:rsidRDefault="00D64AFE">
            <w:r>
              <w:t>SICONFI/FINBRA</w:t>
            </w:r>
          </w:p>
        </w:tc>
        <w:tc>
          <w:tcPr>
            <w:tcW w:w="3264" w:type="dxa"/>
          </w:tcPr>
          <w:p w:rsidR="00D86DBF" w:rsidRDefault="00D64AFE">
            <w:r>
              <w:t>Consultas &gt; FINBRA/Contas Anuais &gt; Municípios &gt; Despesas por natureza &gt; Despesas Empenhadas</w:t>
            </w:r>
          </w:p>
        </w:tc>
      </w:tr>
      <w:tr w:rsidR="00D86DBF">
        <w:tc>
          <w:tcPr>
            <w:tcW w:w="3264" w:type="dxa"/>
          </w:tcPr>
          <w:p w:rsidR="00D86DBF" w:rsidRDefault="00D64AFE">
            <w:r>
              <w:lastRenderedPageBreak/>
              <w:t>Despesas por função</w:t>
            </w:r>
          </w:p>
        </w:tc>
        <w:tc>
          <w:tcPr>
            <w:tcW w:w="3264" w:type="dxa"/>
          </w:tcPr>
          <w:p w:rsidR="00D86DBF" w:rsidRDefault="00D64AFE">
            <w:r>
              <w:t>SICONFI/FINBRA</w:t>
            </w:r>
          </w:p>
        </w:tc>
        <w:tc>
          <w:tcPr>
            <w:tcW w:w="3264" w:type="dxa"/>
          </w:tcPr>
          <w:p w:rsidR="00D86DBF" w:rsidRDefault="00D64AFE">
            <w:r>
              <w:t>Consultas &gt; FINBRA/Contas Anuais &gt; Municípios &gt; Despesas por função &gt; Despesas Empenhadas</w:t>
            </w:r>
          </w:p>
        </w:tc>
      </w:tr>
      <w:tr w:rsidR="00D86DBF">
        <w:tc>
          <w:tcPr>
            <w:tcW w:w="3264" w:type="dxa"/>
          </w:tcPr>
          <w:p w:rsidR="00D86DBF" w:rsidRDefault="00D64AFE">
            <w:r>
              <w:t>IPCA</w:t>
            </w:r>
          </w:p>
        </w:tc>
        <w:tc>
          <w:tcPr>
            <w:tcW w:w="3264" w:type="dxa"/>
          </w:tcPr>
          <w:p w:rsidR="00D86DBF" w:rsidRDefault="00D64AFE">
            <w:r>
              <w:t>IBGE/SIDRA Tabela 1737</w:t>
            </w:r>
          </w:p>
        </w:tc>
        <w:tc>
          <w:tcPr>
            <w:tcW w:w="3264" w:type="dxa"/>
          </w:tcPr>
          <w:p w:rsidR="00D86DBF" w:rsidRDefault="00D64AFE">
            <w:r>
              <w:t>Variável IPCA - Número-índice; meses de dezembro; Brasil</w:t>
            </w:r>
          </w:p>
        </w:tc>
      </w:tr>
      <w:tr w:rsidR="00D86DBF">
        <w:tc>
          <w:tcPr>
            <w:tcW w:w="3264" w:type="dxa"/>
          </w:tcPr>
          <w:p w:rsidR="00D86DBF" w:rsidRDefault="00D64AFE">
            <w:r>
              <w:t>PIB municipal</w:t>
            </w:r>
          </w:p>
        </w:tc>
        <w:tc>
          <w:tcPr>
            <w:tcW w:w="3264" w:type="dxa"/>
          </w:tcPr>
          <w:p w:rsidR="00D86DBF" w:rsidRDefault="00D64AFE">
            <w:r>
              <w:t>IBGE PIB dos Municípios</w:t>
            </w:r>
          </w:p>
        </w:tc>
        <w:tc>
          <w:tcPr>
            <w:tcW w:w="3264" w:type="dxa"/>
          </w:tcPr>
          <w:p w:rsidR="00D86DBF" w:rsidRDefault="00D64AFE">
            <w:r>
              <w:t>PIB a preços correntes; série revisada; municípios selecionados</w:t>
            </w:r>
          </w:p>
        </w:tc>
      </w:tr>
      <w:tr w:rsidR="00D86DBF">
        <w:tc>
          <w:tcPr>
            <w:tcW w:w="3264" w:type="dxa"/>
          </w:tcPr>
          <w:p w:rsidR="00D86DBF" w:rsidRDefault="00D64AFE">
            <w:r>
              <w:t>População</w:t>
            </w:r>
          </w:p>
        </w:tc>
        <w:tc>
          <w:tcPr>
            <w:tcW w:w="3264" w:type="dxa"/>
          </w:tcPr>
          <w:p w:rsidR="00D86DBF" w:rsidRDefault="00D64AFE">
            <w:r>
              <w:t>IBGE/SIDRA Tabela 6579</w:t>
            </w:r>
          </w:p>
        </w:tc>
        <w:tc>
          <w:tcPr>
            <w:tcW w:w="3264" w:type="dxa"/>
          </w:tcPr>
          <w:p w:rsidR="00D86DBF" w:rsidRDefault="00D64AFE">
            <w:r>
              <w:t>População residente estimada; nível municipal</w:t>
            </w:r>
          </w:p>
        </w:tc>
      </w:tr>
      <w:tr w:rsidR="00D86DBF">
        <w:tc>
          <w:tcPr>
            <w:tcW w:w="3264" w:type="dxa"/>
          </w:tcPr>
          <w:p w:rsidR="00D86DBF" w:rsidRDefault="00D64AFE">
            <w:r>
              <w:t>IDEB</w:t>
            </w:r>
          </w:p>
        </w:tc>
        <w:tc>
          <w:tcPr>
            <w:tcW w:w="3264" w:type="dxa"/>
          </w:tcPr>
          <w:p w:rsidR="00D86DBF" w:rsidRDefault="00D64AFE">
            <w:r>
              <w:t>QEdu/INEP</w:t>
            </w:r>
          </w:p>
        </w:tc>
        <w:tc>
          <w:tcPr>
            <w:tcW w:w="3264" w:type="dxa"/>
          </w:tcPr>
          <w:p w:rsidR="00D86DBF" w:rsidRDefault="00D64AFE">
            <w:r>
              <w:t>Município &gt; IDEB &gt; anos iniciais &gt; rede municipal</w:t>
            </w:r>
          </w:p>
        </w:tc>
      </w:tr>
      <w:tr w:rsidR="00D86DBF">
        <w:tc>
          <w:tcPr>
            <w:tcW w:w="3264" w:type="dxa"/>
          </w:tcPr>
          <w:p w:rsidR="00D86DBF" w:rsidRDefault="00D64AFE">
            <w:r>
              <w:t>Hungria</w:t>
            </w:r>
          </w:p>
        </w:tc>
        <w:tc>
          <w:tcPr>
            <w:tcW w:w="3264" w:type="dxa"/>
          </w:tcPr>
          <w:p w:rsidR="00D86DBF" w:rsidRDefault="00D64AFE">
            <w:r>
              <w:t>Eurostat, Banco Mundial, OCDE e KSH</w:t>
            </w:r>
          </w:p>
        </w:tc>
        <w:tc>
          <w:tcPr>
            <w:tcW w:w="3264" w:type="dxa"/>
          </w:tcPr>
          <w:p w:rsidR="00D86DBF" w:rsidRDefault="00D64AFE">
            <w:r>
              <w:t>Indicadores fiscais e macroeconômicos 2014-2023</w:t>
            </w:r>
          </w:p>
        </w:tc>
      </w:tr>
    </w:tbl>
    <w:p w:rsidR="00D86DBF" w:rsidRDefault="00D86DBF"/>
    <w:p w:rsidR="00D86DBF" w:rsidRDefault="00D64AFE">
      <w:pPr>
        <w:pStyle w:val="Ttulo1"/>
      </w:pPr>
      <w:r>
        <w:t>4. Questão 1 — Integração entre contabilidade, auditoria, administração e economia</w:t>
      </w:r>
    </w:p>
    <w:p w:rsidR="00D86DBF" w:rsidRDefault="00D64AFE">
      <w:pPr>
        <w:spacing w:after="120" w:line="259" w:lineRule="auto"/>
      </w:pPr>
      <w:r>
        <w:t>Contabilidade, auditoria, administração e economia se conectam diretamente nas finanças públicas porque cada área responde a uma dimensão da mesma restrição fiscal. A contabilidade pública registra os fatos orçamentários e patrimoniais, permitindo mensurar receita, despesa, resultado e endividamento. A auditoria verifica a confiabilidade desses registros e avalia se a execução respeita normas legais e princípios de economicidade. A administração transforma o orçamento em políticas públicas, definindo prioridades, processos e alocação de recursos. A economia interpreta os efeitos dessas decisões sobre crescimento, distribuição, eficiência e sustentabilidade fiscal.</w:t>
      </w:r>
    </w:p>
    <w:p w:rsidR="00D86DBF" w:rsidRDefault="00D64AFE">
      <w:pPr>
        <w:spacing w:after="120" w:line="259" w:lineRule="auto"/>
      </w:pPr>
      <w:r>
        <w:t>Como indicador real, o resultado fiscal real de 2023 foi positivo nos dois municípios: R$ 56.009.769,02 em Barreiras e R$ 177.012.269,33 em Camaçari. Esse indicador depende da contabilidade para ser mensurado, da auditoria para ser validado, da administração para ser gerido e da economia para ser interpretado.</w:t>
      </w:r>
    </w:p>
    <w:p w:rsidR="00D86DBF" w:rsidRDefault="00D64AFE">
      <w:pPr>
        <w:spacing w:after="120" w:line="259" w:lineRule="auto"/>
      </w:pPr>
      <w:r>
        <w:t>A correlação entre receitas e despesas reais pode ser usada como indicador de aderência orçamentária. Uma correlação elevada sugere que a despesa acompanha a capacidade de arrecadação; porém, isso não prova eficiência, pois o aumento simultâneo de receita e despesa pode refletir apenas expansão do orçamento. A análise crítica exige verificar se o gasto se transforma em investimento, qualidade de serviços e melhoria de indicadores sociais.</w:t>
      </w:r>
    </w:p>
    <w:p w:rsidR="00D86DBF" w:rsidRDefault="00D64AFE">
      <w:pPr>
        <w:pStyle w:val="Ttulo1"/>
      </w:pPr>
      <w:r>
        <w:t>5. Questão 2 — Análise institucional da Hungria</w:t>
      </w:r>
    </w:p>
    <w:p w:rsidR="00D86DBF" w:rsidRDefault="00D64AFE">
      <w:pPr>
        <w:spacing w:after="120" w:line="259" w:lineRule="auto"/>
      </w:pPr>
      <w:r>
        <w:t>A Hungria é um Estado unitário, com forma de governo republicana, regime democrático representativo e sistema parlamentarista. No parlamentarismo, o governo depende da maioria parlamentar, o que tende a aproximar política fiscal e coalizão legislativa. Em Estados unitários, a arrecadação e a coordenação de políticas públicas são mais centralizadas do que em federações, reduzindo a autonomia fiscal de governos subnacionais em comparação com países federativos.</w:t>
      </w:r>
    </w:p>
    <w:p w:rsidR="00D86DBF" w:rsidRDefault="00D64AFE">
      <w:pPr>
        <w:spacing w:after="120" w:line="259" w:lineRule="auto"/>
      </w:pPr>
      <w:r>
        <w:t>Do ponto de vista fiscal, a série 2014-2023 mostra forte presença do governo geral na economia. A receita total ficou em torno de 42,8% do PIB em 2023, a despesa total chegou a 49,5% do PIB, o déficit foi de aproximadamente 6,7% do PIB e a dívida bruta ficou em 73,4% do PIB, conforme a base da Hungria utilizada no Excel. A pandemia elevou a despesa pública em 2020 e 2021, e o déficit permaneceu elevado no pós-pandemia, indicando pressão fiscal persistente.</w:t>
      </w:r>
    </w:p>
    <w:p w:rsidR="00D86DBF" w:rsidRDefault="00D64AFE">
      <w:pPr>
        <w:spacing w:after="120" w:line="259" w:lineRule="auto"/>
      </w:pPr>
      <w:r>
        <w:lastRenderedPageBreak/>
        <w:t>A estrutura parlamentar e unitária pode facilitar a implementação nacional de políticas públicas, mas também concentra a responsabilidade fiscal no governo central. Em termos críticos, isso tende a aumentar a capacidade de coordenação, porém exige forte controle institucional para evitar expansão de gastos sem contrapartida sustentável de receita.</w:t>
      </w:r>
    </w:p>
    <w:p w:rsidR="00D86DBF" w:rsidRDefault="00D64AFE">
      <w:pPr>
        <w:pStyle w:val="Ttulo1"/>
      </w:pPr>
      <w:r>
        <w:t>6. Questão 3 — Composição da receita municipal</w:t>
      </w:r>
    </w:p>
    <w:p w:rsidR="00D86DBF" w:rsidRDefault="00D64AFE">
      <w:pPr>
        <w:spacing w:after="120" w:line="259" w:lineRule="auto"/>
      </w:pPr>
      <w:r>
        <w:t>Em 2023, Barreiras apresentou receita total real de R$ 897.856.861,63, enquanto Camaçari alcançou R$ 2.270.716.271,54. A diferença é relevante e se relaciona ao perfil econômico dos municípios: Camaçari possui maior base industrial e de serviços, enquanto Barreiras tem economia fortemente influenciada pelo agronegócio regional.</w:t>
      </w:r>
    </w:p>
    <w:p w:rsidR="00D86DBF" w:rsidRDefault="00D64AFE">
      <w:pPr>
        <w:spacing w:after="120" w:line="259" w:lineRule="auto"/>
      </w:pPr>
      <w:r>
        <w:t>A composição da receita evidencia padrões distintos. Em Barreiras, as transferências representaram 72,47% da receita total em 2023, enquanto a receita tributária representou 14,95%. Em Camaçari, as transferências representaram 52,45% e a receita tributária 31,43%. Isso mostra maior autonomia fiscal relativa de Camaçari.</w:t>
      </w:r>
    </w:p>
    <w:p w:rsidR="00D86DBF" w:rsidRDefault="00D64AFE">
      <w:pPr>
        <w:spacing w:after="120" w:line="259" w:lineRule="auto"/>
      </w:pPr>
      <w:r>
        <w:t>A análise crítica é que transferências são essenciais para equalização federativa, mas excesso de dependência reduz margem de planejamento local. Camaçari, por ter maior arrecadação própria, tende a possuir maior capacidade de resposta fiscal; Barreiras, por depender mais de transferências, fica mais exposta a oscilações de repasses intergovernamentais.</w:t>
      </w:r>
    </w:p>
    <w:p w:rsidR="00D86DBF" w:rsidRDefault="00D64AFE">
      <w:pPr>
        <w:pStyle w:val="Ttulo1"/>
      </w:pPr>
      <w:r>
        <w:t>7. Questão 4 — Evolução conjunta das receitas e despesas</w:t>
      </w:r>
    </w:p>
    <w:p w:rsidR="00D86DBF" w:rsidRDefault="00D64AFE">
      <w:pPr>
        <w:spacing w:after="120" w:line="259" w:lineRule="auto"/>
      </w:pPr>
      <w:r>
        <w:t>Entre 2014 e 2023, a receita total real de Barreiras passou de R$ 529.390.292,31 para R$ 897.856.861,63, crescimento real de 69,60%. No mesmo período, a despesa real passou de R$ 500.661.632,14 para R$ 841.847.092,61. Em Camaçari, a receita total real passou de R$ 1.742.131.976,91 para R$ 2.270.716.271,54, crescimento real de 30,34%.</w:t>
      </w:r>
    </w:p>
    <w:p w:rsidR="00D86DBF" w:rsidRDefault="00D64AFE">
      <w:pPr>
        <w:spacing w:after="120" w:line="259" w:lineRule="auto"/>
      </w:pPr>
      <w:r>
        <w:t>A leitura fiscal mostra que ambos os municípios encerraram 2023 com resultado positivo, mas por trajetórias distintas. Barreiras ampliou receitas e despesas de forma mais acelerada, enquanto Camaçari manteve patamar absoluto maior de receita e despesa. A sustentabilidade fiscal não deve ser avaliada apenas pelo resultado anual positivo, mas pela composição do gasto: despesas correntes elevadas reduzem flexibilidade; investimento real reforça capacidade futura.</w:t>
      </w:r>
    </w:p>
    <w:p w:rsidR="00D86DBF" w:rsidRDefault="00D64AFE">
      <w:pPr>
        <w:pStyle w:val="Ttulo1"/>
      </w:pPr>
      <w:r>
        <w:t>8. Questão 5 — Gasto público e indicador de resultado: educação e IDEB</w:t>
      </w:r>
    </w:p>
    <w:p w:rsidR="00D86DBF" w:rsidRDefault="00D64AFE">
      <w:pPr>
        <w:spacing w:after="120" w:line="259" w:lineRule="auto"/>
      </w:pPr>
      <w:r>
        <w:t>A relação entre gasto público e resultado foi avaliada com a despesa empenhada na função Educação e o IDEB dos anos iniciais da rede municipal. Por critério de rastreabilidade, a correlação foi calculada apenas para Camaçari, pois Barreiras só possui dado de IDEB 2023 disponível e legível no material coletado.</w:t>
      </w:r>
    </w:p>
    <w:p w:rsidR="00D86DBF" w:rsidRDefault="00D64AFE">
      <w:pPr>
        <w:spacing w:after="120" w:line="259" w:lineRule="auto"/>
      </w:pPr>
      <w:r>
        <w:t>Para Camaçari, a correlação simples entre gasto real em educação e IDEB nos anos disponíveis foi aproximadamente 0,465. O sinal positivo indica associação entre maior gasto real em educação e melhora do IDEB, mas a magnitude moderada e o pequeno número de observações exigem cautela. Correlação não prova causalidade: o IDEB depende de gestão escolar, fluxo, aprendizagem, perfil socioeconômico e continuidade das políticas educacionais.</w:t>
      </w:r>
    </w:p>
    <w:p w:rsidR="00D86DBF" w:rsidRDefault="00D64AFE">
      <w:pPr>
        <w:spacing w:after="120" w:line="259" w:lineRule="auto"/>
      </w:pPr>
      <w:r>
        <w:t>Mesmo assim, a análise é útil porque conecta gasto público com resultado mensurável. A recomendação é tratar o indicador como evidência exploratória, não como prova de impacto causal.</w:t>
      </w:r>
    </w:p>
    <w:p w:rsidR="00D86DBF" w:rsidRDefault="00D64AFE">
      <w:pPr>
        <w:pStyle w:val="Ttulo1"/>
      </w:pPr>
      <w:r>
        <w:lastRenderedPageBreak/>
        <w:t>9. Questão 6 — Curva de Laffer empírica</w:t>
      </w:r>
    </w:p>
    <w:p w:rsidR="00D86DBF" w:rsidRDefault="00D64AFE">
      <w:pPr>
        <w:spacing w:after="120" w:line="259" w:lineRule="auto"/>
      </w:pPr>
      <w:r>
        <w:t>A Curva de Laffer empírica foi construída relacionando receita tributária real com uma proxy de carga tributária municipal: Receita Tributária / PIB municipal. Em contexto municipal, essa proxy não representa a carga tributária total incidente sobre os contribuintes, mas aproxima a capacidade de extração fiscal local em relação à base econômica.</w:t>
      </w:r>
    </w:p>
    <w:p w:rsidR="00D86DBF" w:rsidRDefault="00D64AFE">
      <w:pPr>
        <w:spacing w:after="120" w:line="259" w:lineRule="auto"/>
      </w:pPr>
      <w:r>
        <w:t>Os resultados sugerem relação positiva entre a proxy e a receita tributária real, especialmente em Camaçari, onde a regressão linear simples apresentou R² aproximado de 0,901. Em Barreiras, o R² aproximado foi 0,371, indicando relação positiva, porém menos forte. Não se observou, com apenas 10 anos, evidência robusta do trecho descendente clássico da Curva de Laffer. Portanto, a interpretação deve ser prudente: o exercício mostra associação entre base econômica, esforço tributário e arrecadação, não um ponto ótimo de tributação.</w:t>
      </w:r>
    </w:p>
    <w:p w:rsidR="00D86DBF" w:rsidRDefault="00D64AFE">
      <w:pPr>
        <w:pStyle w:val="Ttulo1"/>
      </w:pPr>
      <w:r>
        <w:t>10. Questão 7 — Regressão Receita = β0 + β1 PIB + ε</w:t>
      </w:r>
    </w:p>
    <w:p w:rsidR="00D86DBF" w:rsidRDefault="00D64AFE">
      <w:pPr>
        <w:spacing w:after="120" w:line="259" w:lineRule="auto"/>
      </w:pPr>
      <w:r>
        <w:t>A regressão proposta foi estimada usando a receita total real como variável dependente e o PIB municipal real como variável explicativa. Os dados de receita vêm do SICONFI/FINBRA e o PIB vem do IBGE. Ambos foram corrigidos para valores reais de 2023 pelo IPCA.</w:t>
      </w:r>
    </w:p>
    <w:p w:rsidR="00D86DBF" w:rsidRDefault="00D64AFE">
      <w:pPr>
        <w:spacing w:after="120" w:line="259" w:lineRule="auto"/>
      </w:pPr>
      <w:r>
        <w:t>Considerando os dois municípios conjuntamente, o coeficiente β1 estimado foi aproximadamente 0,04673 e o R² aproximadamente 0,907. A interpretação econômica é que, na amostra combinada, aumentos no PIB municipal estão associados a aumentos na receita total real. O coeficiente não deve ser interpretado como causalidade automática, pois municípios possuem estruturas produtivas, transferências e regras fiscais distintas.</w:t>
      </w:r>
    </w:p>
    <w:p w:rsidR="00D86DBF" w:rsidRDefault="00D64AFE">
      <w:pPr>
        <w:spacing w:after="120" w:line="259" w:lineRule="auto"/>
      </w:pPr>
      <w:r>
        <w:t>A principal implicação fiscal é que crescimento econômico amplia potencial arrecadatório, mas a composição da receita importa. Camaçari apresenta maior autonomia relativa, enquanto Barreiras depende mais de transferências. Por isso, o mesmo aumento de PIB pode ter efeitos diferentes sobre a receita própria de cada município.</w:t>
      </w:r>
    </w:p>
    <w:p w:rsidR="00D86DBF" w:rsidRDefault="00D64AFE">
      <w:pPr>
        <w:pStyle w:val="Ttulo1"/>
      </w:pPr>
      <w:r>
        <w:t>11. Questão 8 — Mapa temático</w:t>
      </w:r>
    </w:p>
    <w:p w:rsidR="00D86DBF" w:rsidRDefault="00D64AFE">
      <w:pPr>
        <w:spacing w:after="120" w:line="259" w:lineRule="auto"/>
      </w:pPr>
      <w:r>
        <w:t>O mapa temático deve comparar receita ou despesa per capita entre Camaçari e Barreiras, utilizando receita total real ou despesa total real dividida pela população municipal. A base preparada no Excel contém município, UF, receita per capita real, despesa per capita real e população.</w:t>
      </w:r>
    </w:p>
    <w:p w:rsidR="00D86DBF" w:rsidRDefault="00D64AFE">
      <w:pPr>
        <w:spacing w:after="120" w:line="259" w:lineRule="auto"/>
      </w:pPr>
      <w:r>
        <w:t>Como a população coletada na Tabela 6579 do SIDRA/IBGE não apresentou 2022 e 2023 no momento da coleta, a análise per capita deve priorizar 2014-2021. No Power BI, basta importar a aba Q8_Mapa_PerCapita, definir Município e UF como localização e usar Receita_per_capita_Real ou Despesa_per_capita_Real como valor de cor. A leitura crítica deve destacar que Camaçari tende a apresentar maior capacidade fiscal per capita por sua base econômica mais robusta, enquanto Barreiras apresenta maior dependência relativa de transferências.</w:t>
      </w:r>
    </w:p>
    <w:p w:rsidR="00D86DBF" w:rsidRDefault="00D64AFE">
      <w:pPr>
        <w:pStyle w:val="Ttulo1"/>
      </w:pPr>
      <w:r>
        <w:t>12. Questão 9 — Falha de mercado e gasto público</w:t>
      </w:r>
    </w:p>
    <w:p w:rsidR="00D86DBF" w:rsidRDefault="00D64AFE">
      <w:pPr>
        <w:spacing w:after="120" w:line="259" w:lineRule="auto"/>
      </w:pPr>
      <w:r>
        <w:t>A falha de mercado escolhida é educação. A educação gera externalidades positivas que o mercado privado tende a subofertar: aumento de produtividade, redução de desigualdades, maior cidadania e ganhos sociais que não são plenamente apropriados pelo indivíduo. Por isso, o gasto público em educação atua como mecanismo de correção de falha de mercado.</w:t>
      </w:r>
    </w:p>
    <w:p w:rsidR="00D86DBF" w:rsidRDefault="00D64AFE">
      <w:pPr>
        <w:spacing w:after="120" w:line="259" w:lineRule="auto"/>
      </w:pPr>
      <w:r>
        <w:t xml:space="preserve">Em 2023, o gasto real em educação foi de R$ 261.810.280,67 em Barreiras e R$ 467.374.006,29 em Camaçari. O IDEB disponível para 2023 foi 4,9 em Barreiras e 5,1 em Camaçari, conforme os dados coletados no QEdu/INEP. A análise mostra que o gasto é condição necessária, mas não suficiente: </w:t>
      </w:r>
      <w:r>
        <w:lastRenderedPageBreak/>
        <w:t>resultados educacionais dependem também de qualidade da gestão, fluxo escolar, aprendizado, infraestrutura, formação docente e contexto social.</w:t>
      </w:r>
    </w:p>
    <w:p w:rsidR="00D86DBF" w:rsidRDefault="00D64AFE">
      <w:pPr>
        <w:pStyle w:val="Ttulo1"/>
      </w:pPr>
      <w:r>
        <w:t>13. Questão 10 — Diagnóstico fiscal integrado e Power BI</w:t>
      </w:r>
    </w:p>
    <w:p w:rsidR="00D86DBF" w:rsidRDefault="00D64AFE">
      <w:pPr>
        <w:spacing w:after="120" w:line="259" w:lineRule="auto"/>
      </w:pPr>
      <w:r>
        <w:t>O diagnóstico integrado combina as análises anteriores. Camaçari apresenta maior porte fiscal, maior receita real, maior participação da receita tributária na receita total e menor dependência relativa de transferências. Barreiras apresenta crescimento fiscal relevante, mas maior dependência de transferências correntes, o que aumenta sua vulnerabilidade a mudanças em repasses federais e estaduais.</w:t>
      </w:r>
    </w:p>
    <w:p w:rsidR="00D86DBF" w:rsidRDefault="00D64AFE">
      <w:pPr>
        <w:spacing w:after="120" w:line="259" w:lineRule="auto"/>
      </w:pPr>
      <w:r>
        <w:t>Em 2023, o resultado fiscal real foi positivo nos dois municípios: R$ 56.009.769,02 em Barreiras e R$ 177.012.269,33 em Camaçari. Camaçari teve maior autonomia tributária relativa, com receita tributária equivalente a 31,43% da receita total; Barreiras registrou 14,95%. Por outro lado, Barreiras dependeu mais das transferências, com 72,47% da receita total, contra 52,45% em Camaçari.</w:t>
      </w:r>
    </w:p>
    <w:p w:rsidR="00D86DBF" w:rsidRDefault="00D64AFE">
      <w:pPr>
        <w:spacing w:after="120" w:line="259" w:lineRule="auto"/>
      </w:pPr>
      <w:r>
        <w:t>Para o painel no Power BI, recomenda-se criar cartões de Receita Total Real, Despesa Total Real, Resultado Fiscal Real e Investimentos Reais; gráficos de linha para evolução temporal; barras empilhadas para composição da receita; dispersão para Receita x PIB; dispersão para Curva de Laffer; e mapa com receita ou despesa per capita. A política pública recomendada para Barreiras é ampliar capacidade de arrecadação própria sem comprometer atividade econômica; para Camaçari, a prioridade é sustentar investimentos e transformar maior capacidade fiscal em melhoria de indicadores sociais.</w:t>
      </w:r>
    </w:p>
    <w:p w:rsidR="00D86DBF" w:rsidRDefault="00D64AFE">
      <w:pPr>
        <w:pStyle w:val="Ttulo1"/>
      </w:pPr>
      <w:r>
        <w:t>14. Guia de Excel e Power BI</w:t>
      </w:r>
    </w:p>
    <w:p w:rsidR="00D86DBF" w:rsidRDefault="00D64AFE">
      <w:pPr>
        <w:spacing w:after="120" w:line="259" w:lineRule="auto"/>
      </w:pPr>
      <w:r>
        <w:t>No Excel, utilize a aba Base_Consolidada ou as abas por questão do arquivo principal. Para deflação, aplique: Valor real = Valor nominal × Fator_IPCA_2023. Para gráficos de evolução, use Ano no eixo horizontal e valores reais no eixo vertical. Para regressões, ative o suplemento Análise de Dados e selecione Regressão, com Y=Receita_Total_Real e X=PIB_Real. Para a Curva de Laffer, crie gráfico de dispersão com X=Proxy_Carga_Tributaria e Y=Receita_Tributaria_Real. Para correlação, utilize CORREL entre Educação_Real e IDEB nos anos disponíveis.</w:t>
      </w:r>
    </w:p>
    <w:p w:rsidR="00D86DBF" w:rsidRDefault="00D64AFE">
      <w:pPr>
        <w:spacing w:after="120" w:line="259" w:lineRule="auto"/>
      </w:pPr>
      <w:r>
        <w:t>No Power BI, importe o Excel principal, carregue as abas Q3, Q4, Q5, Q6, Q7, Q8 e Q10, defina tipos numéricos corretamente e crie medidas como Resultado Fiscal = SUM(Receita_Total_Real) - SUM(Despesa_Total_Real). O dashboard deve conter filtros por município e ano, além dos gráficos indicados no diagnóstico.</w:t>
      </w:r>
    </w:p>
    <w:p w:rsidR="00D86DBF" w:rsidRDefault="00D64AFE">
      <w:pPr>
        <w:pStyle w:val="Ttulo1"/>
      </w:pPr>
      <w:r>
        <w:t>15. Fontes e links</w:t>
      </w:r>
    </w:p>
    <w:p w:rsidR="00D86DBF" w:rsidRDefault="00D64AFE">
      <w:pPr>
        <w:pStyle w:val="Commarcadores"/>
      </w:pPr>
      <w:r>
        <w:t>SICONFI/FINBRA: https://siconfi.tesouro.gov.br/siconfi/index.jsf</w:t>
      </w:r>
    </w:p>
    <w:p w:rsidR="00D86DBF" w:rsidRDefault="00D64AFE">
      <w:pPr>
        <w:pStyle w:val="Commarcadores"/>
      </w:pPr>
      <w:r>
        <w:t>IBGE/SIDRA Tabela 1737 — IPCA: https://sidra.ibge.gov.br/tabela/1737</w:t>
      </w:r>
    </w:p>
    <w:p w:rsidR="00D86DBF" w:rsidRDefault="00D64AFE">
      <w:pPr>
        <w:pStyle w:val="Commarcadores"/>
      </w:pPr>
      <w:r>
        <w:t>IBGE/SIDRA Tabela 6579 — População estimada: https://sidra.ibge.gov.br/tabela/6579</w:t>
      </w:r>
    </w:p>
    <w:p w:rsidR="00D86DBF" w:rsidRDefault="00D64AFE">
      <w:pPr>
        <w:pStyle w:val="Commarcadores"/>
      </w:pPr>
      <w:r>
        <w:t>IBGE — Produto Interno Bruto dos Municípios: https://www.ibge.gov.br/estatisticas/economicas/contas-nacionais/9088-produto-interno-bruto-dos-municipios.html</w:t>
      </w:r>
    </w:p>
    <w:p w:rsidR="00D86DBF" w:rsidRDefault="00D64AFE">
      <w:pPr>
        <w:pStyle w:val="Commarcadores"/>
      </w:pPr>
      <w:r>
        <w:t>QEdu/INEP — IDEB municipal: https://qedu.org.br/</w:t>
      </w:r>
    </w:p>
    <w:p w:rsidR="00D86DBF" w:rsidRDefault="00D64AFE">
      <w:pPr>
        <w:pStyle w:val="Commarcadores"/>
      </w:pPr>
      <w:r>
        <w:t>Banco Mundial — Hungria: https://data.worldbank.org/country/hungary</w:t>
      </w:r>
    </w:p>
    <w:p w:rsidR="00D86DBF" w:rsidRDefault="00D64AFE">
      <w:pPr>
        <w:pStyle w:val="Commarcadores"/>
      </w:pPr>
      <w:r>
        <w:t>Eurostat — Government finance statistics: https://ec.europa.eu/eurostat/</w:t>
      </w:r>
    </w:p>
    <w:p w:rsidR="00D86DBF" w:rsidRDefault="00D64AFE">
      <w:pPr>
        <w:pStyle w:val="Commarcadores"/>
      </w:pPr>
      <w:r>
        <w:t>KSH — Hungarian Central Statistical Office: https://www.ksh.hu/</w:t>
      </w:r>
    </w:p>
    <w:p w:rsidR="00D86DBF" w:rsidRDefault="00D64AFE">
      <w:pPr>
        <w:pStyle w:val="Commarcadores"/>
      </w:pPr>
      <w:r>
        <w:t>OECD Revenue Statistics: https://www.oecd.org/</w:t>
      </w:r>
    </w:p>
    <w:p w:rsidR="00D86DBF" w:rsidRDefault="00D64AFE">
      <w:pPr>
        <w:pStyle w:val="Ttulo1"/>
      </w:pPr>
      <w:r>
        <w:lastRenderedPageBreak/>
        <w:t>16. Referências teóricas indicadas no enunciado</w:t>
      </w:r>
    </w:p>
    <w:p w:rsidR="00D86DBF" w:rsidRDefault="00D64AFE">
      <w:pPr>
        <w:pStyle w:val="Commarcadores"/>
      </w:pPr>
      <w:r>
        <w:t>BRESSER-PEREIRA, Luiz Carlos. Reforma gerencial e administração pública.</w:t>
      </w:r>
    </w:p>
    <w:p w:rsidR="00D86DBF" w:rsidRDefault="00D64AFE">
      <w:pPr>
        <w:pStyle w:val="Commarcadores"/>
      </w:pPr>
      <w:r>
        <w:t>BIDERMAN, Ciro; ARVATE, Paulo. Economia do setor público no Brasil.</w:t>
      </w:r>
    </w:p>
    <w:p w:rsidR="00D86DBF" w:rsidRDefault="00D64AFE">
      <w:pPr>
        <w:pStyle w:val="Commarcadores"/>
      </w:pPr>
      <w:r>
        <w:t>GIAMBIAGI, Fabio; ALÉM, Ana Cláudia. Finanças públicas: teoria e prática no Brasil.</w:t>
      </w:r>
    </w:p>
    <w:p w:rsidR="00D86DBF" w:rsidRDefault="00D64AFE">
      <w:pPr>
        <w:pStyle w:val="Commarcadores"/>
      </w:pPr>
      <w:r>
        <w:t>GIACOMONI, James. Orçamento público.</w:t>
      </w:r>
    </w:p>
    <w:p w:rsidR="00D86DBF" w:rsidRDefault="00D64AFE">
      <w:pPr>
        <w:pStyle w:val="Commarcadores"/>
      </w:pPr>
      <w:r>
        <w:t>BRASIL. Plano Diretor da Reforma do Aparelho do Estado — PDRAE, 1995.</w:t>
      </w:r>
    </w:p>
    <w:p w:rsidR="00D86DBF" w:rsidRDefault="00D64AFE">
      <w:pPr>
        <w:pStyle w:val="Commarcadores"/>
      </w:pPr>
      <w:r>
        <w:t>ISC/TCU. Indicadores e avaliação de desempenho no setor público.</w:t>
      </w:r>
    </w:p>
    <w:sectPr w:rsidR="00D86DBF" w:rsidSect="00034616">
      <w:footerReference w:type="default" r:id="rId8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37E0A" w:rsidRDefault="00137E0A">
      <w:pPr>
        <w:spacing w:after="0" w:line="240" w:lineRule="auto"/>
      </w:pPr>
      <w:r>
        <w:separator/>
      </w:r>
    </w:p>
  </w:endnote>
  <w:endnote w:type="continuationSeparator" w:id="0">
    <w:p w:rsidR="00137E0A" w:rsidRDefault="00137E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86DBF" w:rsidRDefault="00D64AFE">
    <w:pPr>
      <w:pStyle w:val="Rodap"/>
      <w:jc w:val="center"/>
    </w:pPr>
    <w:r>
      <w:t>P1 FSP — Hungria, Camaçari/BA e Barreiras/BA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37E0A" w:rsidRDefault="00137E0A">
      <w:pPr>
        <w:spacing w:after="0" w:line="240" w:lineRule="auto"/>
      </w:pPr>
      <w:r>
        <w:separator/>
      </w:r>
    </w:p>
  </w:footnote>
  <w:footnote w:type="continuationSeparator" w:id="0">
    <w:p w:rsidR="00137E0A" w:rsidRDefault="00137E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55625"/>
    <w:rsid w:val="0006063C"/>
    <w:rsid w:val="00137E0A"/>
    <w:rsid w:val="0015074B"/>
    <w:rsid w:val="0029639D"/>
    <w:rsid w:val="00326F90"/>
    <w:rsid w:val="007A75E5"/>
    <w:rsid w:val="00AA1D8D"/>
    <w:rsid w:val="00B47730"/>
    <w:rsid w:val="00C635CB"/>
    <w:rsid w:val="00CB0664"/>
    <w:rsid w:val="00D64AFE"/>
    <w:rsid w:val="00D86D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C2E22605-CEAC-4E99-AD19-8C19B558F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E37847F-FE28-4AC4-ADA4-F849FB9C87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2535</Words>
  <Characters>13689</Characters>
  <Application>Microsoft Office Word</Application>
  <DocSecurity>0</DocSecurity>
  <Lines>114</Lines>
  <Paragraphs>32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16192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João Paulo Cunha</cp:lastModifiedBy>
  <cp:revision>3</cp:revision>
  <cp:lastPrinted>2026-05-08T23:46:00Z</cp:lastPrinted>
  <dcterms:created xsi:type="dcterms:W3CDTF">2026-05-08T23:45:00Z</dcterms:created>
  <dcterms:modified xsi:type="dcterms:W3CDTF">2026-05-08T23:47:00Z</dcterms:modified>
  <cp:category/>
</cp:coreProperties>
</file>