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1285800348"/>
        <w:docPartObj>
          <w:docPartGallery w:val="Table of Contents"/>
          <w:docPartUnique/>
        </w:docPartObj>
      </w:sdtPr>
      <w:sdtEndPr>
        <w:rPr>
          <w:b/>
          <w:bCs/>
          <w:color w:val="000000" w:themeColor="text1"/>
        </w:rPr>
      </w:sdtEndPr>
      <w:sdtContent>
        <w:p w14:paraId="29135902" w14:textId="03D69214" w:rsidR="00F3006B" w:rsidRPr="00CF725B" w:rsidRDefault="00F3006B" w:rsidP="00CF725B">
          <w:pPr>
            <w:pStyle w:val="Cabealhodondice"/>
            <w:jc w:val="both"/>
            <w:rPr>
              <w:rFonts w:asciiTheme="minorHAnsi" w:hAnsiTheme="minorHAnsi"/>
              <w:b/>
              <w:bCs/>
              <w:color w:val="000000" w:themeColor="text1"/>
              <w:sz w:val="24"/>
              <w:szCs w:val="24"/>
            </w:rPr>
          </w:pPr>
          <w:r w:rsidRPr="00CF725B">
            <w:rPr>
              <w:rFonts w:asciiTheme="minorHAnsi" w:hAnsiTheme="minorHAnsi"/>
              <w:b/>
              <w:bCs/>
              <w:color w:val="000000" w:themeColor="text1"/>
              <w:sz w:val="24"/>
              <w:szCs w:val="24"/>
            </w:rPr>
            <w:t>Índice</w:t>
          </w:r>
        </w:p>
        <w:p w14:paraId="5BE7D31A" w14:textId="009682C3" w:rsidR="004936CB" w:rsidRDefault="00F3006B">
          <w:pPr>
            <w:pStyle w:val="ndice1"/>
            <w:tabs>
              <w:tab w:val="right" w:leader="dot" w:pos="8494"/>
            </w:tabs>
            <w:rPr>
              <w:rFonts w:eastAsiaTheme="minorEastAsia"/>
              <w:noProof/>
              <w:lang w:eastAsia="pt-PT"/>
            </w:rPr>
          </w:pPr>
          <w:r w:rsidRPr="00CF725B">
            <w:rPr>
              <w:color w:val="000000" w:themeColor="text1"/>
            </w:rPr>
            <w:fldChar w:fldCharType="begin"/>
          </w:r>
          <w:r w:rsidRPr="00CF725B">
            <w:rPr>
              <w:color w:val="000000" w:themeColor="text1"/>
            </w:rPr>
            <w:instrText xml:space="preserve"> TOC \o "1-3" \h \z \u </w:instrText>
          </w:r>
          <w:r w:rsidRPr="00CF725B">
            <w:rPr>
              <w:color w:val="000000" w:themeColor="text1"/>
            </w:rPr>
            <w:fldChar w:fldCharType="separate"/>
          </w:r>
          <w:hyperlink w:anchor="_Toc202646090" w:history="1">
            <w:r w:rsidR="004936CB" w:rsidRPr="0078057A">
              <w:rPr>
                <w:rStyle w:val="Hiperligao"/>
                <w:b/>
                <w:bCs/>
                <w:noProof/>
              </w:rPr>
              <w:t>1. O dimensionamento de uma infraestrutura de Cloud Computing é extremamente difícil pois requer o balanço de várias características. Que características deve ter em conta quando dimensiona? Porque não existe uma solução única para este problema?</w:t>
            </w:r>
            <w:r w:rsidR="004936CB">
              <w:rPr>
                <w:noProof/>
                <w:webHidden/>
              </w:rPr>
              <w:tab/>
            </w:r>
            <w:r w:rsidR="004936CB">
              <w:rPr>
                <w:noProof/>
                <w:webHidden/>
              </w:rPr>
              <w:fldChar w:fldCharType="begin"/>
            </w:r>
            <w:r w:rsidR="004936CB">
              <w:rPr>
                <w:noProof/>
                <w:webHidden/>
              </w:rPr>
              <w:instrText xml:space="preserve"> PAGEREF _Toc202646090 \h </w:instrText>
            </w:r>
            <w:r w:rsidR="004936CB">
              <w:rPr>
                <w:noProof/>
                <w:webHidden/>
              </w:rPr>
            </w:r>
            <w:r w:rsidR="004936CB">
              <w:rPr>
                <w:noProof/>
                <w:webHidden/>
              </w:rPr>
              <w:fldChar w:fldCharType="separate"/>
            </w:r>
            <w:r w:rsidR="004936CB">
              <w:rPr>
                <w:noProof/>
                <w:webHidden/>
              </w:rPr>
              <w:t>2</w:t>
            </w:r>
            <w:r w:rsidR="004936CB">
              <w:rPr>
                <w:noProof/>
                <w:webHidden/>
              </w:rPr>
              <w:fldChar w:fldCharType="end"/>
            </w:r>
          </w:hyperlink>
        </w:p>
        <w:p w14:paraId="679A6875" w14:textId="44B860A4" w:rsidR="004936CB" w:rsidRDefault="004936CB">
          <w:pPr>
            <w:pStyle w:val="ndice1"/>
            <w:tabs>
              <w:tab w:val="right" w:leader="dot" w:pos="8494"/>
            </w:tabs>
            <w:rPr>
              <w:rFonts w:eastAsiaTheme="minorEastAsia"/>
              <w:noProof/>
              <w:lang w:eastAsia="pt-PT"/>
            </w:rPr>
          </w:pPr>
          <w:hyperlink w:anchor="_Toc202646091" w:history="1">
            <w:r w:rsidRPr="0078057A">
              <w:rPr>
                <w:rStyle w:val="Hiperligao"/>
                <w:b/>
                <w:bCs/>
                <w:noProof/>
              </w:rPr>
              <w:t>2. Numa infraestrutura baseada em containers, os mesmos apresentam-se por definição associados a uma rede privada, isolada da rede do anfitrião. Explique o motivo por que isto acontece e como na tecnologia Kubernetes um serviço deve ser exposto à internet.</w:t>
            </w:r>
            <w:r>
              <w:rPr>
                <w:noProof/>
                <w:webHidden/>
              </w:rPr>
              <w:tab/>
            </w:r>
            <w:r>
              <w:rPr>
                <w:noProof/>
                <w:webHidden/>
              </w:rPr>
              <w:fldChar w:fldCharType="begin"/>
            </w:r>
            <w:r>
              <w:rPr>
                <w:noProof/>
                <w:webHidden/>
              </w:rPr>
              <w:instrText xml:space="preserve"> PAGEREF _Toc202646091 \h </w:instrText>
            </w:r>
            <w:r>
              <w:rPr>
                <w:noProof/>
                <w:webHidden/>
              </w:rPr>
            </w:r>
            <w:r>
              <w:rPr>
                <w:noProof/>
                <w:webHidden/>
              </w:rPr>
              <w:fldChar w:fldCharType="separate"/>
            </w:r>
            <w:r>
              <w:rPr>
                <w:noProof/>
                <w:webHidden/>
              </w:rPr>
              <w:t>3</w:t>
            </w:r>
            <w:r>
              <w:rPr>
                <w:noProof/>
                <w:webHidden/>
              </w:rPr>
              <w:fldChar w:fldCharType="end"/>
            </w:r>
          </w:hyperlink>
        </w:p>
        <w:p w14:paraId="29A62C71" w14:textId="3AF27325" w:rsidR="004936CB" w:rsidRDefault="004936CB">
          <w:pPr>
            <w:pStyle w:val="ndice1"/>
            <w:tabs>
              <w:tab w:val="right" w:leader="dot" w:pos="8494"/>
            </w:tabs>
            <w:rPr>
              <w:rFonts w:eastAsiaTheme="minorEastAsia"/>
              <w:noProof/>
              <w:lang w:eastAsia="pt-PT"/>
            </w:rPr>
          </w:pPr>
          <w:hyperlink w:anchor="_Toc202646092" w:history="1">
            <w:r w:rsidRPr="0078057A">
              <w:rPr>
                <w:rStyle w:val="Hiperligao"/>
                <w:b/>
                <w:bCs/>
                <w:noProof/>
              </w:rPr>
              <w:t>3. Enumere e defina 4 princípios da Orientação a Serviços (SOA).</w:t>
            </w:r>
            <w:r>
              <w:rPr>
                <w:noProof/>
                <w:webHidden/>
              </w:rPr>
              <w:tab/>
            </w:r>
            <w:r>
              <w:rPr>
                <w:noProof/>
                <w:webHidden/>
              </w:rPr>
              <w:fldChar w:fldCharType="begin"/>
            </w:r>
            <w:r>
              <w:rPr>
                <w:noProof/>
                <w:webHidden/>
              </w:rPr>
              <w:instrText xml:space="preserve"> PAGEREF _Toc202646092 \h </w:instrText>
            </w:r>
            <w:r>
              <w:rPr>
                <w:noProof/>
                <w:webHidden/>
              </w:rPr>
            </w:r>
            <w:r>
              <w:rPr>
                <w:noProof/>
                <w:webHidden/>
              </w:rPr>
              <w:fldChar w:fldCharType="separate"/>
            </w:r>
            <w:r>
              <w:rPr>
                <w:noProof/>
                <w:webHidden/>
              </w:rPr>
              <w:t>4</w:t>
            </w:r>
            <w:r>
              <w:rPr>
                <w:noProof/>
                <w:webHidden/>
              </w:rPr>
              <w:fldChar w:fldCharType="end"/>
            </w:r>
          </w:hyperlink>
        </w:p>
        <w:p w14:paraId="6703C004" w14:textId="41D38323" w:rsidR="004936CB" w:rsidRDefault="004936CB">
          <w:pPr>
            <w:pStyle w:val="ndice1"/>
            <w:tabs>
              <w:tab w:val="right" w:leader="dot" w:pos="8494"/>
            </w:tabs>
            <w:rPr>
              <w:rFonts w:eastAsiaTheme="minorEastAsia"/>
              <w:noProof/>
              <w:lang w:eastAsia="pt-PT"/>
            </w:rPr>
          </w:pPr>
          <w:hyperlink w:anchor="_Toc202646093" w:history="1">
            <w:r w:rsidRPr="0078057A">
              <w:rPr>
                <w:rStyle w:val="Hiperligao"/>
                <w:b/>
                <w:bCs/>
                <w:noProof/>
              </w:rPr>
              <w:t>4. Defina o que é uma SAML Assertion, para que serve e quais as vantagens da sua utilização.</w:t>
            </w:r>
            <w:r>
              <w:rPr>
                <w:noProof/>
                <w:webHidden/>
              </w:rPr>
              <w:tab/>
            </w:r>
            <w:r>
              <w:rPr>
                <w:noProof/>
                <w:webHidden/>
              </w:rPr>
              <w:fldChar w:fldCharType="begin"/>
            </w:r>
            <w:r>
              <w:rPr>
                <w:noProof/>
                <w:webHidden/>
              </w:rPr>
              <w:instrText xml:space="preserve"> PAGEREF _Toc202646093 \h </w:instrText>
            </w:r>
            <w:r>
              <w:rPr>
                <w:noProof/>
                <w:webHidden/>
              </w:rPr>
            </w:r>
            <w:r>
              <w:rPr>
                <w:noProof/>
                <w:webHidden/>
              </w:rPr>
              <w:fldChar w:fldCharType="separate"/>
            </w:r>
            <w:r>
              <w:rPr>
                <w:noProof/>
                <w:webHidden/>
              </w:rPr>
              <w:t>5</w:t>
            </w:r>
            <w:r>
              <w:rPr>
                <w:noProof/>
                <w:webHidden/>
              </w:rPr>
              <w:fldChar w:fldCharType="end"/>
            </w:r>
          </w:hyperlink>
        </w:p>
        <w:p w14:paraId="15EA58E9" w14:textId="32E89074" w:rsidR="004936CB" w:rsidRDefault="004936CB">
          <w:pPr>
            <w:pStyle w:val="ndice1"/>
            <w:tabs>
              <w:tab w:val="right" w:leader="dot" w:pos="8494"/>
            </w:tabs>
            <w:rPr>
              <w:rFonts w:eastAsiaTheme="minorEastAsia"/>
              <w:noProof/>
              <w:lang w:eastAsia="pt-PT"/>
            </w:rPr>
          </w:pPr>
          <w:hyperlink w:anchor="_Toc202646094" w:history="1">
            <w:r w:rsidRPr="0078057A">
              <w:rPr>
                <w:rStyle w:val="Hiperligao"/>
                <w:b/>
                <w:bCs/>
                <w:noProof/>
              </w:rPr>
              <w:t>5. Em que consiste o padrão Publish/Subscribe? Este padrão pode ser comparado a que outro padrão? Quais as suas vantagens?</w:t>
            </w:r>
            <w:r>
              <w:rPr>
                <w:noProof/>
                <w:webHidden/>
              </w:rPr>
              <w:tab/>
            </w:r>
            <w:r>
              <w:rPr>
                <w:noProof/>
                <w:webHidden/>
              </w:rPr>
              <w:fldChar w:fldCharType="begin"/>
            </w:r>
            <w:r>
              <w:rPr>
                <w:noProof/>
                <w:webHidden/>
              </w:rPr>
              <w:instrText xml:space="preserve"> PAGEREF _Toc202646094 \h </w:instrText>
            </w:r>
            <w:r>
              <w:rPr>
                <w:noProof/>
                <w:webHidden/>
              </w:rPr>
            </w:r>
            <w:r>
              <w:rPr>
                <w:noProof/>
                <w:webHidden/>
              </w:rPr>
              <w:fldChar w:fldCharType="separate"/>
            </w:r>
            <w:r>
              <w:rPr>
                <w:noProof/>
                <w:webHidden/>
              </w:rPr>
              <w:t>6</w:t>
            </w:r>
            <w:r>
              <w:rPr>
                <w:noProof/>
                <w:webHidden/>
              </w:rPr>
              <w:fldChar w:fldCharType="end"/>
            </w:r>
          </w:hyperlink>
        </w:p>
        <w:p w14:paraId="664A757F" w14:textId="5A6194FF" w:rsidR="00F3006B" w:rsidRPr="00CF725B" w:rsidRDefault="00F3006B" w:rsidP="00CF725B">
          <w:pPr>
            <w:jc w:val="both"/>
            <w:rPr>
              <w:color w:val="000000" w:themeColor="text1"/>
            </w:rPr>
          </w:pPr>
          <w:r w:rsidRPr="00CF725B">
            <w:rPr>
              <w:b/>
              <w:bCs/>
              <w:color w:val="000000" w:themeColor="text1"/>
            </w:rPr>
            <w:fldChar w:fldCharType="end"/>
          </w:r>
        </w:p>
      </w:sdtContent>
    </w:sdt>
    <w:p w14:paraId="6E98F6D1" w14:textId="77777777" w:rsidR="00F3006B" w:rsidRPr="00CF725B" w:rsidRDefault="00F3006B" w:rsidP="00CF725B">
      <w:pPr>
        <w:jc w:val="both"/>
        <w:rPr>
          <w:b/>
          <w:bCs/>
          <w:color w:val="000000" w:themeColor="text1"/>
        </w:rPr>
      </w:pPr>
    </w:p>
    <w:p w14:paraId="59138608" w14:textId="77777777" w:rsidR="00F3006B" w:rsidRPr="00CF725B" w:rsidRDefault="00F3006B" w:rsidP="00CF725B">
      <w:pPr>
        <w:jc w:val="both"/>
        <w:rPr>
          <w:b/>
          <w:bCs/>
          <w:color w:val="000000" w:themeColor="text1"/>
        </w:rPr>
      </w:pPr>
    </w:p>
    <w:p w14:paraId="5CC35B3A" w14:textId="77777777" w:rsidR="00F3006B" w:rsidRDefault="00F3006B" w:rsidP="00CF725B">
      <w:pPr>
        <w:jc w:val="both"/>
        <w:rPr>
          <w:b/>
          <w:bCs/>
          <w:color w:val="000000" w:themeColor="text1"/>
        </w:rPr>
      </w:pPr>
    </w:p>
    <w:p w14:paraId="0D18B6AB" w14:textId="77777777" w:rsidR="00CF725B" w:rsidRDefault="00CF725B" w:rsidP="00CF725B">
      <w:pPr>
        <w:jc w:val="both"/>
        <w:rPr>
          <w:b/>
          <w:bCs/>
          <w:color w:val="000000" w:themeColor="text1"/>
        </w:rPr>
      </w:pPr>
    </w:p>
    <w:p w14:paraId="0D50EB28" w14:textId="77777777" w:rsidR="00CF725B" w:rsidRDefault="00CF725B" w:rsidP="00CF725B">
      <w:pPr>
        <w:jc w:val="both"/>
        <w:rPr>
          <w:b/>
          <w:bCs/>
          <w:color w:val="000000" w:themeColor="text1"/>
        </w:rPr>
      </w:pPr>
    </w:p>
    <w:p w14:paraId="3EDDE4CE" w14:textId="77777777" w:rsidR="00CF725B" w:rsidRDefault="00CF725B" w:rsidP="00CF725B">
      <w:pPr>
        <w:jc w:val="both"/>
        <w:rPr>
          <w:b/>
          <w:bCs/>
          <w:color w:val="000000" w:themeColor="text1"/>
        </w:rPr>
      </w:pPr>
    </w:p>
    <w:p w14:paraId="3E15FADA" w14:textId="77777777" w:rsidR="00CF725B" w:rsidRDefault="00CF725B" w:rsidP="00CF725B">
      <w:pPr>
        <w:jc w:val="both"/>
        <w:rPr>
          <w:b/>
          <w:bCs/>
          <w:color w:val="000000" w:themeColor="text1"/>
        </w:rPr>
      </w:pPr>
    </w:p>
    <w:p w14:paraId="3A42D04A" w14:textId="77777777" w:rsidR="00CF725B" w:rsidRDefault="00CF725B" w:rsidP="00CF725B">
      <w:pPr>
        <w:jc w:val="both"/>
        <w:rPr>
          <w:b/>
          <w:bCs/>
          <w:color w:val="000000" w:themeColor="text1"/>
        </w:rPr>
      </w:pPr>
    </w:p>
    <w:p w14:paraId="401EA64C" w14:textId="77777777" w:rsidR="00CF725B" w:rsidRDefault="00CF725B" w:rsidP="00CF725B">
      <w:pPr>
        <w:jc w:val="both"/>
        <w:rPr>
          <w:b/>
          <w:bCs/>
          <w:color w:val="000000" w:themeColor="text1"/>
        </w:rPr>
      </w:pPr>
    </w:p>
    <w:p w14:paraId="188097C9" w14:textId="77777777" w:rsidR="00F3006B" w:rsidRDefault="00F3006B" w:rsidP="00CF725B">
      <w:pPr>
        <w:jc w:val="both"/>
        <w:rPr>
          <w:b/>
          <w:bCs/>
          <w:color w:val="000000" w:themeColor="text1"/>
        </w:rPr>
      </w:pPr>
    </w:p>
    <w:p w14:paraId="683BE0A5" w14:textId="77777777" w:rsidR="00CF725B" w:rsidRDefault="00CF725B" w:rsidP="00CF725B">
      <w:pPr>
        <w:jc w:val="both"/>
        <w:rPr>
          <w:b/>
          <w:bCs/>
          <w:color w:val="000000" w:themeColor="text1"/>
        </w:rPr>
      </w:pPr>
    </w:p>
    <w:p w14:paraId="382B4423" w14:textId="77777777" w:rsidR="00CF725B" w:rsidRDefault="00CF725B" w:rsidP="00CF725B">
      <w:pPr>
        <w:jc w:val="both"/>
        <w:rPr>
          <w:b/>
          <w:bCs/>
          <w:color w:val="000000" w:themeColor="text1"/>
        </w:rPr>
      </w:pPr>
    </w:p>
    <w:p w14:paraId="7A1F6B5F" w14:textId="77777777" w:rsidR="00CF725B" w:rsidRPr="00CF725B" w:rsidRDefault="00CF725B" w:rsidP="00CF725B">
      <w:pPr>
        <w:jc w:val="both"/>
        <w:rPr>
          <w:b/>
          <w:bCs/>
          <w:color w:val="000000" w:themeColor="text1"/>
        </w:rPr>
      </w:pPr>
    </w:p>
    <w:p w14:paraId="60E7B41D" w14:textId="4D8F962A" w:rsidR="008A012E" w:rsidRPr="00CF725B" w:rsidRDefault="008A012E" w:rsidP="00CF725B">
      <w:pPr>
        <w:pStyle w:val="Ttulo1"/>
        <w:jc w:val="both"/>
        <w:rPr>
          <w:rFonts w:asciiTheme="minorHAnsi" w:hAnsiTheme="minorHAnsi"/>
          <w:b/>
          <w:bCs/>
          <w:color w:val="000000" w:themeColor="text1"/>
          <w:sz w:val="24"/>
          <w:szCs w:val="24"/>
        </w:rPr>
      </w:pPr>
      <w:bookmarkStart w:id="0" w:name="_Toc202646090"/>
      <w:r w:rsidRPr="00CF725B">
        <w:rPr>
          <w:rFonts w:asciiTheme="minorHAnsi" w:hAnsiTheme="minorHAnsi"/>
          <w:b/>
          <w:bCs/>
          <w:color w:val="000000" w:themeColor="text1"/>
          <w:sz w:val="24"/>
          <w:szCs w:val="24"/>
        </w:rPr>
        <w:lastRenderedPageBreak/>
        <w:t>1. O dimensionamento de uma infraestrutura de Cloud Computing é extremamente difícil pois requer o balanço de várias características. Que características deve ter em conta quando dimensiona? Porque não existe uma solução única para este problema?</w:t>
      </w:r>
      <w:bookmarkEnd w:id="0"/>
    </w:p>
    <w:p w14:paraId="7BA52514" w14:textId="12DA6F2C" w:rsidR="00A33CDF" w:rsidRPr="00A33CDF" w:rsidRDefault="00A33CDF" w:rsidP="00CF725B">
      <w:pPr>
        <w:jc w:val="both"/>
        <w:rPr>
          <w:color w:val="000000" w:themeColor="text1"/>
        </w:rPr>
      </w:pPr>
      <w:r w:rsidRPr="00A33CDF">
        <w:rPr>
          <w:color w:val="000000" w:themeColor="text1"/>
        </w:rPr>
        <w:t>O dimensionamento de uma infraestrutura de Cloud é complexo devido à necessidade de equilibrar:</w:t>
      </w:r>
    </w:p>
    <w:p w14:paraId="098C5B58" w14:textId="4C3E9378" w:rsidR="00A33CDF" w:rsidRPr="00A33CDF" w:rsidRDefault="00A33CDF" w:rsidP="00CF725B">
      <w:pPr>
        <w:numPr>
          <w:ilvl w:val="0"/>
          <w:numId w:val="7"/>
        </w:numPr>
        <w:jc w:val="both"/>
        <w:rPr>
          <w:color w:val="000000" w:themeColor="text1"/>
        </w:rPr>
      </w:pPr>
      <w:r w:rsidRPr="00A33CDF">
        <w:rPr>
          <w:color w:val="000000" w:themeColor="text1"/>
        </w:rPr>
        <w:t xml:space="preserve">Variações de Carga: A carga é imprevisível e sujeita a picos extremos (ex.: </w:t>
      </w:r>
      <w:r w:rsidR="00B40FF0" w:rsidRPr="00A33CDF">
        <w:rPr>
          <w:color w:val="000000" w:themeColor="text1"/>
        </w:rPr>
        <w:t>B</w:t>
      </w:r>
      <w:r w:rsidR="00B40FF0">
        <w:rPr>
          <w:color w:val="000000" w:themeColor="text1"/>
        </w:rPr>
        <w:t>l</w:t>
      </w:r>
      <w:r w:rsidR="00B40FF0" w:rsidRPr="00A33CDF">
        <w:rPr>
          <w:color w:val="000000" w:themeColor="text1"/>
        </w:rPr>
        <w:t>ack</w:t>
      </w:r>
      <w:r w:rsidRPr="00A33CDF">
        <w:rPr>
          <w:color w:val="000000" w:themeColor="text1"/>
        </w:rPr>
        <w:t xml:space="preserve"> Friday, conteúdo viral).</w:t>
      </w:r>
    </w:p>
    <w:p w14:paraId="6898E1CF" w14:textId="77777777" w:rsidR="00A33CDF" w:rsidRPr="00A33CDF" w:rsidRDefault="00A33CDF" w:rsidP="00CF725B">
      <w:pPr>
        <w:numPr>
          <w:ilvl w:val="0"/>
          <w:numId w:val="7"/>
        </w:numPr>
        <w:jc w:val="both"/>
        <w:rPr>
          <w:color w:val="000000" w:themeColor="text1"/>
        </w:rPr>
      </w:pPr>
      <w:r w:rsidRPr="00A33CDF">
        <w:rPr>
          <w:color w:val="000000" w:themeColor="text1"/>
        </w:rPr>
        <w:t>Picos de Utilização: É necessário suportar cargas até 10x superiores à média.</w:t>
      </w:r>
    </w:p>
    <w:p w14:paraId="4C1BADCC" w14:textId="77777777" w:rsidR="00A33CDF" w:rsidRPr="00A33CDF" w:rsidRDefault="00A33CDF" w:rsidP="00CF725B">
      <w:pPr>
        <w:numPr>
          <w:ilvl w:val="0"/>
          <w:numId w:val="7"/>
        </w:numPr>
        <w:jc w:val="both"/>
        <w:rPr>
          <w:color w:val="000000" w:themeColor="text1"/>
        </w:rPr>
      </w:pPr>
      <w:r w:rsidRPr="00A33CDF">
        <w:rPr>
          <w:color w:val="000000" w:themeColor="text1"/>
        </w:rPr>
        <w:t>Eficiência vs. Satisfação: Provisionar para o pico gera desperdício (5-20% de utilização), subprovisionar leva à perda de clientes.</w:t>
      </w:r>
    </w:p>
    <w:p w14:paraId="5CE73EA7" w14:textId="77777777" w:rsidR="00A33CDF" w:rsidRPr="00A33CDF" w:rsidRDefault="00A33CDF" w:rsidP="00CF725B">
      <w:pPr>
        <w:numPr>
          <w:ilvl w:val="0"/>
          <w:numId w:val="7"/>
        </w:numPr>
        <w:jc w:val="both"/>
        <w:rPr>
          <w:color w:val="000000" w:themeColor="text1"/>
        </w:rPr>
      </w:pPr>
      <w:r w:rsidRPr="00A33CDF">
        <w:rPr>
          <w:color w:val="000000" w:themeColor="text1"/>
        </w:rPr>
        <w:t>Custos: Investimento inicial elevado, complexidade na configuração e custos contínuos de manutenção.</w:t>
      </w:r>
    </w:p>
    <w:p w14:paraId="2E5B7AD0" w14:textId="77777777" w:rsidR="00A33CDF" w:rsidRPr="00A33CDF" w:rsidRDefault="00A33CDF" w:rsidP="00CF725B">
      <w:pPr>
        <w:numPr>
          <w:ilvl w:val="0"/>
          <w:numId w:val="7"/>
        </w:numPr>
        <w:jc w:val="both"/>
        <w:rPr>
          <w:color w:val="000000" w:themeColor="text1"/>
        </w:rPr>
      </w:pPr>
      <w:r w:rsidRPr="00A33CDF">
        <w:rPr>
          <w:color w:val="000000" w:themeColor="text1"/>
        </w:rPr>
        <w:t>Escalabilidade: Requer escalabilidade vertical e horizontal, local e global, para garantir performance e disponibilidade.</w:t>
      </w:r>
    </w:p>
    <w:p w14:paraId="068357DB" w14:textId="77777777" w:rsidR="00A33CDF" w:rsidRPr="00A33CDF" w:rsidRDefault="00A33CDF" w:rsidP="00CF725B">
      <w:pPr>
        <w:numPr>
          <w:ilvl w:val="0"/>
          <w:numId w:val="7"/>
        </w:numPr>
        <w:jc w:val="both"/>
        <w:rPr>
          <w:color w:val="000000" w:themeColor="text1"/>
        </w:rPr>
      </w:pPr>
      <w:r w:rsidRPr="00A33CDF">
        <w:rPr>
          <w:color w:val="000000" w:themeColor="text1"/>
        </w:rPr>
        <w:t>Alta Disponibilidade: Nenhum recurso isolado garante uptime elevado (ex.: 99.999%).</w:t>
      </w:r>
    </w:p>
    <w:p w14:paraId="5CF75CB8" w14:textId="3AAC8E4E" w:rsidR="006A5A98" w:rsidRDefault="00A33CDF" w:rsidP="00CF725B">
      <w:pPr>
        <w:pBdr>
          <w:bottom w:val="single" w:sz="12" w:space="1" w:color="auto"/>
        </w:pBdr>
        <w:jc w:val="both"/>
        <w:rPr>
          <w:color w:val="000000" w:themeColor="text1"/>
        </w:rPr>
      </w:pPr>
      <w:r w:rsidRPr="00A33CDF">
        <w:rPr>
          <w:color w:val="000000" w:themeColor="text1"/>
        </w:rPr>
        <w:t>Não existe uma solução única porque a carga é dinâmica, há um trade-off constante entre custo e desempenho, a escalabilidade nem sempre é imediata e a alta disponibilidade exige arquiteturas complexas.</w:t>
      </w:r>
    </w:p>
    <w:p w14:paraId="2D1D6D82" w14:textId="778BA435" w:rsidR="006A5A98" w:rsidRPr="006A5A98" w:rsidRDefault="006A5A98" w:rsidP="006A5A98">
      <w:r w:rsidRPr="006A5A98">
        <w:t xml:space="preserve">O dimensionamento de uma infraestrutura de Cloud Computing é complexo, pois exige o equilíbrio entre vários </w:t>
      </w:r>
      <w:r w:rsidR="00F631BC" w:rsidRPr="006A5A98">
        <w:t>fatores</w:t>
      </w:r>
      <w:r w:rsidRPr="006A5A98">
        <w:t xml:space="preserve">, não existindo uma solução única. A carga de utilização é altamente imprevisível, podendo variar drasticamente em eventos como a Black Friday ou devido a conteúdos virais. O sistema deve ser capaz de lidar com picos de utilização muito superiores à média, o que levanta um dilema: provisionar para o pico resulta em desperdício de recursos, enquanto provisionar para a média pode levar a falhas e à perda de utilizadores. Além disso, os custos iniciais de hardware são elevados, exigem competências especializadas para planeamento e configuração, e implicam custos contínuos de manutenção. A escalabilidade, tanto vertical como horizontal, local ou global, é essencial para garantir desempenho e disponibilidade. Por fim, assegurar alta disponibilidade é extremamente difícil, já que nenhum recurso isolado garante fiabilidade suficiente, sendo necessária uma </w:t>
      </w:r>
      <w:r w:rsidR="00F631BC" w:rsidRPr="006A5A98">
        <w:t>arquitetura</w:t>
      </w:r>
      <w:r w:rsidRPr="006A5A98">
        <w:t xml:space="preserve"> distribuída e resiliente. Não existe uma abordagem única porque a natureza dinâmica da carga, o custo do </w:t>
      </w:r>
      <w:r w:rsidR="00F631BC" w:rsidRPr="006A5A98">
        <w:t>sobre provisionamento</w:t>
      </w:r>
      <w:r w:rsidRPr="006A5A98">
        <w:t>, as limitações práticas da escalabilidade e a complexidade da alta disponibilidade tornam cada caso distinto.</w:t>
      </w:r>
    </w:p>
    <w:p w14:paraId="66F39CBE" w14:textId="6EEEABBE" w:rsidR="008C0D33" w:rsidRPr="00CF725B" w:rsidRDefault="008C0D33" w:rsidP="00CF725B">
      <w:pPr>
        <w:pStyle w:val="Ttulo1"/>
        <w:jc w:val="both"/>
        <w:rPr>
          <w:rFonts w:asciiTheme="minorHAnsi" w:hAnsiTheme="minorHAnsi"/>
          <w:b/>
          <w:bCs/>
          <w:color w:val="000000" w:themeColor="text1"/>
          <w:sz w:val="24"/>
          <w:szCs w:val="24"/>
        </w:rPr>
      </w:pPr>
      <w:bookmarkStart w:id="1" w:name="_Toc202646091"/>
      <w:r w:rsidRPr="00CF725B">
        <w:rPr>
          <w:rFonts w:asciiTheme="minorHAnsi" w:hAnsiTheme="minorHAnsi"/>
          <w:b/>
          <w:bCs/>
          <w:color w:val="000000" w:themeColor="text1"/>
          <w:sz w:val="24"/>
          <w:szCs w:val="24"/>
        </w:rPr>
        <w:lastRenderedPageBreak/>
        <w:t>2. Numa infraestrutura baseada em containers, os mesmos apresentam-se por definição associados a uma rede privada, isolada da rede do anfitrião. Explique o motivo por que isto acontece e como na tecnologia Kubernetes um serviço deve ser exposto à internet.</w:t>
      </w:r>
      <w:bookmarkEnd w:id="1"/>
    </w:p>
    <w:p w14:paraId="39E106DF" w14:textId="2AADC1E1" w:rsidR="00A33CDF" w:rsidRPr="00A33CDF" w:rsidRDefault="00A33CDF" w:rsidP="00CF725B">
      <w:pPr>
        <w:jc w:val="both"/>
        <w:rPr>
          <w:color w:val="000000" w:themeColor="text1"/>
        </w:rPr>
      </w:pPr>
      <w:r w:rsidRPr="00A33CDF">
        <w:rPr>
          <w:color w:val="000000" w:themeColor="text1"/>
        </w:rPr>
        <w:t>Containers utilizam uma rede privada isolada do anfitrião devido ao uso de network namespaces, que criam espaços de rede independentes. Cada container possui sua própria pilha de rede, isolada das interfaces do host, reforçando segurança e isolamento.</w:t>
      </w:r>
    </w:p>
    <w:p w14:paraId="08D17EB1" w14:textId="77777777" w:rsidR="00A33CDF" w:rsidRPr="00A33CDF" w:rsidRDefault="00A33CDF" w:rsidP="00CF725B">
      <w:pPr>
        <w:jc w:val="both"/>
        <w:rPr>
          <w:color w:val="000000" w:themeColor="text1"/>
        </w:rPr>
      </w:pPr>
      <w:r w:rsidRPr="00A33CDF">
        <w:rPr>
          <w:color w:val="000000" w:themeColor="text1"/>
        </w:rPr>
        <w:t>No Kubernetes, a exposição de serviços ocorre via:</w:t>
      </w:r>
    </w:p>
    <w:p w14:paraId="67F6126E" w14:textId="77777777" w:rsidR="00A33CDF" w:rsidRPr="00A33CDF" w:rsidRDefault="00A33CDF" w:rsidP="00CF725B">
      <w:pPr>
        <w:numPr>
          <w:ilvl w:val="0"/>
          <w:numId w:val="8"/>
        </w:numPr>
        <w:jc w:val="both"/>
        <w:rPr>
          <w:color w:val="000000" w:themeColor="text1"/>
        </w:rPr>
      </w:pPr>
      <w:r w:rsidRPr="00A33CDF">
        <w:rPr>
          <w:color w:val="000000" w:themeColor="text1"/>
        </w:rPr>
        <w:t>Service: Cria um IP e DNS estável dentro do cluster, abstraindo os Pods e balanceando carga.</w:t>
      </w:r>
    </w:p>
    <w:p w14:paraId="1B17E5C5" w14:textId="51726F54" w:rsidR="006A5A98" w:rsidRPr="006A5A98" w:rsidRDefault="00A33CDF" w:rsidP="006A5A98">
      <w:pPr>
        <w:numPr>
          <w:ilvl w:val="0"/>
          <w:numId w:val="8"/>
        </w:numPr>
        <w:jc w:val="both"/>
        <w:rPr>
          <w:color w:val="000000" w:themeColor="text1"/>
        </w:rPr>
      </w:pPr>
      <w:r w:rsidRPr="00A33CDF">
        <w:rPr>
          <w:color w:val="000000" w:themeColor="text1"/>
        </w:rPr>
        <w:t>Ingress: Expõe serviços externamente, utilizando proxies (ex.: NGINX, Traefik) para rotear tráfego da internet para os serviços internos.</w:t>
      </w:r>
    </w:p>
    <w:p w14:paraId="14746845" w14:textId="77777777" w:rsidR="006A5A98" w:rsidRDefault="006A5A98" w:rsidP="006A5A98">
      <w:pPr>
        <w:pBdr>
          <w:bottom w:val="single" w:sz="12" w:space="1" w:color="auto"/>
        </w:pBdr>
        <w:jc w:val="both"/>
        <w:rPr>
          <w:color w:val="000000" w:themeColor="text1"/>
        </w:rPr>
      </w:pPr>
    </w:p>
    <w:p w14:paraId="25CE7086" w14:textId="2EE35A0D" w:rsidR="006A5A98" w:rsidRDefault="00EA20B6" w:rsidP="006A5A98">
      <w:pPr>
        <w:jc w:val="both"/>
        <w:rPr>
          <w:color w:val="000000" w:themeColor="text1"/>
        </w:rPr>
      </w:pPr>
      <w:r w:rsidRPr="00EA20B6">
        <w:rPr>
          <w:color w:val="000000" w:themeColor="text1"/>
        </w:rPr>
        <w:t xml:space="preserve">Os </w:t>
      </w:r>
      <w:r w:rsidR="00D82947">
        <w:rPr>
          <w:color w:val="000000" w:themeColor="text1"/>
        </w:rPr>
        <w:t>containers</w:t>
      </w:r>
      <w:r w:rsidRPr="00EA20B6">
        <w:rPr>
          <w:color w:val="000000" w:themeColor="text1"/>
        </w:rPr>
        <w:t xml:space="preserve"> operam</w:t>
      </w:r>
      <w:r w:rsidR="00D82947">
        <w:rPr>
          <w:color w:val="000000" w:themeColor="text1"/>
        </w:rPr>
        <w:t xml:space="preserve"> </w:t>
      </w:r>
      <w:r w:rsidRPr="00EA20B6">
        <w:rPr>
          <w:color w:val="000000" w:themeColor="text1"/>
        </w:rPr>
        <w:t xml:space="preserve">em redes privadas isoladas da rede do anfitrião, devido à utilização de namespaces de rede, que criam ambientes de rede independentes com as suas próprias interfaces e tabelas de encaminhamento. Isto garante isolamento e segurança, dado que os processos dentro de um </w:t>
      </w:r>
      <w:r w:rsidR="00D82947">
        <w:rPr>
          <w:color w:val="000000" w:themeColor="text1"/>
        </w:rPr>
        <w:t>container</w:t>
      </w:r>
      <w:r w:rsidRPr="00EA20B6">
        <w:rPr>
          <w:color w:val="000000" w:themeColor="text1"/>
        </w:rPr>
        <w:t xml:space="preserve"> não têm acesso </w:t>
      </w:r>
      <w:r w:rsidR="00F631BC" w:rsidRPr="00EA20B6">
        <w:rPr>
          <w:color w:val="000000" w:themeColor="text1"/>
        </w:rPr>
        <w:t>direto</w:t>
      </w:r>
      <w:r w:rsidRPr="00EA20B6">
        <w:rPr>
          <w:color w:val="000000" w:themeColor="text1"/>
        </w:rPr>
        <w:t xml:space="preserve"> aos recursos de rede do anfitrião. No Kubernetes, os Pods possuem endereços IP voláteis e estão isolados entre si, sendo necessário um recurso chamado Service para fornecer um ponto de acesso estável e distribuir a carga entre réplicas de Pods. Para tornar estes serviços acessíveis a partir do exterior, utiliza-se o recurso Ingress, que funciona como um proxy reverso e encaminha o tráfego da internet para os serviços internos apropriados. O Ingress é geralmente implementado com soluções como o NGINX ou o Traefik, permitindo controlar quais os serviços internos que são expostos e como o tráfego externo é tratado.</w:t>
      </w:r>
    </w:p>
    <w:p w14:paraId="1CB75C58" w14:textId="77777777" w:rsidR="00EA20B6" w:rsidRDefault="00EA20B6" w:rsidP="006A5A98">
      <w:pPr>
        <w:jc w:val="both"/>
        <w:rPr>
          <w:color w:val="000000" w:themeColor="text1"/>
        </w:rPr>
      </w:pPr>
    </w:p>
    <w:p w14:paraId="5BCCA68E" w14:textId="77777777" w:rsidR="00EA20B6" w:rsidRDefault="00EA20B6" w:rsidP="006A5A98">
      <w:pPr>
        <w:jc w:val="both"/>
        <w:rPr>
          <w:color w:val="000000" w:themeColor="text1"/>
        </w:rPr>
      </w:pPr>
    </w:p>
    <w:p w14:paraId="126FDF26" w14:textId="77777777" w:rsidR="00EA20B6" w:rsidRDefault="00EA20B6" w:rsidP="006A5A98">
      <w:pPr>
        <w:jc w:val="both"/>
        <w:rPr>
          <w:color w:val="000000" w:themeColor="text1"/>
        </w:rPr>
      </w:pPr>
    </w:p>
    <w:p w14:paraId="20202ABD" w14:textId="77777777" w:rsidR="00EA20B6" w:rsidRDefault="00EA20B6" w:rsidP="006A5A98">
      <w:pPr>
        <w:jc w:val="both"/>
        <w:rPr>
          <w:color w:val="000000" w:themeColor="text1"/>
        </w:rPr>
      </w:pPr>
    </w:p>
    <w:p w14:paraId="20BCD957" w14:textId="77777777" w:rsidR="00EA20B6" w:rsidRDefault="00EA20B6" w:rsidP="006A5A98">
      <w:pPr>
        <w:jc w:val="both"/>
        <w:rPr>
          <w:color w:val="000000" w:themeColor="text1"/>
        </w:rPr>
      </w:pPr>
    </w:p>
    <w:p w14:paraId="0E3DF498" w14:textId="77777777" w:rsidR="00EA20B6" w:rsidRDefault="00EA20B6" w:rsidP="006A5A98">
      <w:pPr>
        <w:jc w:val="both"/>
        <w:rPr>
          <w:color w:val="000000" w:themeColor="text1"/>
        </w:rPr>
      </w:pPr>
    </w:p>
    <w:p w14:paraId="63FEA0F3" w14:textId="77777777" w:rsidR="00EA20B6" w:rsidRPr="00A33CDF" w:rsidRDefault="00EA20B6" w:rsidP="006A5A98">
      <w:pPr>
        <w:jc w:val="both"/>
        <w:rPr>
          <w:color w:val="000000" w:themeColor="text1"/>
        </w:rPr>
      </w:pPr>
    </w:p>
    <w:p w14:paraId="0E04A49F" w14:textId="77777777" w:rsidR="008C0D33" w:rsidRPr="00CF725B" w:rsidRDefault="008C0D33" w:rsidP="00CF725B">
      <w:pPr>
        <w:pStyle w:val="Ttulo1"/>
        <w:jc w:val="both"/>
        <w:rPr>
          <w:rFonts w:asciiTheme="minorHAnsi" w:hAnsiTheme="minorHAnsi"/>
          <w:color w:val="000000" w:themeColor="text1"/>
          <w:sz w:val="24"/>
          <w:szCs w:val="24"/>
        </w:rPr>
      </w:pPr>
      <w:bookmarkStart w:id="2" w:name="_Toc202646092"/>
      <w:r w:rsidRPr="00CF725B">
        <w:rPr>
          <w:rFonts w:asciiTheme="minorHAnsi" w:hAnsiTheme="minorHAnsi"/>
          <w:b/>
          <w:bCs/>
          <w:color w:val="000000" w:themeColor="text1"/>
          <w:sz w:val="24"/>
          <w:szCs w:val="24"/>
        </w:rPr>
        <w:lastRenderedPageBreak/>
        <w:t>3. Enumere e defina 4 princípios da Orientação a Serviços (SOA).</w:t>
      </w:r>
      <w:bookmarkEnd w:id="2"/>
    </w:p>
    <w:p w14:paraId="70E4AC0A" w14:textId="20FFBD0F" w:rsidR="00A33CDF" w:rsidRPr="00A33CDF" w:rsidRDefault="00A33CDF" w:rsidP="00CF725B">
      <w:pPr>
        <w:numPr>
          <w:ilvl w:val="0"/>
          <w:numId w:val="9"/>
        </w:numPr>
        <w:jc w:val="both"/>
        <w:rPr>
          <w:color w:val="000000" w:themeColor="text1"/>
        </w:rPr>
      </w:pPr>
      <w:r w:rsidRPr="00A33CDF">
        <w:rPr>
          <w:color w:val="000000" w:themeColor="text1"/>
        </w:rPr>
        <w:t>Acoplamento Flexível: Mínima dependência entre serviços.</w:t>
      </w:r>
    </w:p>
    <w:p w14:paraId="0FA8F7F1" w14:textId="77777777" w:rsidR="00A33CDF" w:rsidRPr="00A33CDF" w:rsidRDefault="00A33CDF" w:rsidP="00CF725B">
      <w:pPr>
        <w:numPr>
          <w:ilvl w:val="0"/>
          <w:numId w:val="9"/>
        </w:numPr>
        <w:jc w:val="both"/>
        <w:rPr>
          <w:color w:val="000000" w:themeColor="text1"/>
        </w:rPr>
      </w:pPr>
      <w:r w:rsidRPr="00A33CDF">
        <w:rPr>
          <w:color w:val="000000" w:themeColor="text1"/>
        </w:rPr>
        <w:t>Contrato de Serviço: Comunicação regida por contratos formais (descrições e esquemas).</w:t>
      </w:r>
    </w:p>
    <w:p w14:paraId="603C9936" w14:textId="77777777" w:rsidR="00A33CDF" w:rsidRPr="00A33CDF" w:rsidRDefault="00A33CDF" w:rsidP="00CF725B">
      <w:pPr>
        <w:numPr>
          <w:ilvl w:val="0"/>
          <w:numId w:val="9"/>
        </w:numPr>
        <w:jc w:val="both"/>
        <w:rPr>
          <w:color w:val="000000" w:themeColor="text1"/>
        </w:rPr>
      </w:pPr>
      <w:r w:rsidRPr="00A33CDF">
        <w:rPr>
          <w:color w:val="000000" w:themeColor="text1"/>
        </w:rPr>
        <w:t>Autonomia: Cada serviço controla sua lógica interna.</w:t>
      </w:r>
    </w:p>
    <w:p w14:paraId="2AFDA3C5" w14:textId="5433128F" w:rsidR="00EA20B6" w:rsidRPr="00EA20B6" w:rsidRDefault="00A33CDF" w:rsidP="00EA20B6">
      <w:pPr>
        <w:numPr>
          <w:ilvl w:val="0"/>
          <w:numId w:val="9"/>
        </w:numPr>
        <w:jc w:val="both"/>
        <w:rPr>
          <w:color w:val="000000" w:themeColor="text1"/>
        </w:rPr>
      </w:pPr>
      <w:r w:rsidRPr="00A33CDF">
        <w:rPr>
          <w:color w:val="000000" w:themeColor="text1"/>
        </w:rPr>
        <w:t>Abstração: A lógica interna dos serviços é oculta, expondo apenas o necessário via contrato.</w:t>
      </w:r>
    </w:p>
    <w:p w14:paraId="5081D5D4" w14:textId="77777777" w:rsidR="00EA20B6" w:rsidRDefault="00EA20B6" w:rsidP="00EA20B6">
      <w:pPr>
        <w:pBdr>
          <w:bottom w:val="single" w:sz="12" w:space="1" w:color="auto"/>
        </w:pBdr>
        <w:jc w:val="both"/>
        <w:rPr>
          <w:color w:val="000000" w:themeColor="text1"/>
        </w:rPr>
      </w:pPr>
    </w:p>
    <w:p w14:paraId="27854282" w14:textId="3B223AD0" w:rsidR="00EA20B6" w:rsidRDefault="00911D69" w:rsidP="00EA20B6">
      <w:pPr>
        <w:jc w:val="both"/>
        <w:rPr>
          <w:color w:val="000000" w:themeColor="text1"/>
        </w:rPr>
      </w:pPr>
      <w:r w:rsidRPr="00911D69">
        <w:rPr>
          <w:color w:val="000000" w:themeColor="text1"/>
        </w:rPr>
        <w:t xml:space="preserve">A Orientação a Serviços baseia-se em vários princípios fundamentais. O acoplamento flexível implica que os serviços devem manter o mínimo de dependências entre si, facilitando a sua evolução independente. O contrato de serviço define formalmente como os serviços comunicam, através de descrições e esquemas bem definidos. A autonomia garante que cada serviço tem controlo sobre a lógica que encapsula, funcionando de forma independente. A </w:t>
      </w:r>
      <w:r w:rsidR="00F631BC" w:rsidRPr="00911D69">
        <w:rPr>
          <w:color w:val="000000" w:themeColor="text1"/>
        </w:rPr>
        <w:t>abstração</w:t>
      </w:r>
      <w:r w:rsidRPr="00911D69">
        <w:rPr>
          <w:color w:val="000000" w:themeColor="text1"/>
        </w:rPr>
        <w:t xml:space="preserve"> implica que os serviços ocultam os seus detalhes internos, expondo apenas o necessário conforme o contrato, promovendo o encapsulamento e a segurança. Estes princípios complementam-se com outros como a reutilização, componibilidade, ausência de estado e capacidade de descoberta.</w:t>
      </w:r>
    </w:p>
    <w:p w14:paraId="72F1F05D" w14:textId="77777777" w:rsidR="00911D69" w:rsidRDefault="00911D69" w:rsidP="00EA20B6">
      <w:pPr>
        <w:jc w:val="both"/>
        <w:rPr>
          <w:color w:val="000000" w:themeColor="text1"/>
        </w:rPr>
      </w:pPr>
    </w:p>
    <w:p w14:paraId="5DCC8A6C" w14:textId="77777777" w:rsidR="00911D69" w:rsidRDefault="00911D69" w:rsidP="00EA20B6">
      <w:pPr>
        <w:jc w:val="both"/>
        <w:rPr>
          <w:color w:val="000000" w:themeColor="text1"/>
        </w:rPr>
      </w:pPr>
    </w:p>
    <w:p w14:paraId="1A0C0D14" w14:textId="77777777" w:rsidR="00911D69" w:rsidRDefault="00911D69" w:rsidP="00EA20B6">
      <w:pPr>
        <w:jc w:val="both"/>
        <w:rPr>
          <w:color w:val="000000" w:themeColor="text1"/>
        </w:rPr>
      </w:pPr>
    </w:p>
    <w:p w14:paraId="45AD5F03" w14:textId="77777777" w:rsidR="00911D69" w:rsidRDefault="00911D69" w:rsidP="00EA20B6">
      <w:pPr>
        <w:jc w:val="both"/>
        <w:rPr>
          <w:color w:val="000000" w:themeColor="text1"/>
        </w:rPr>
      </w:pPr>
    </w:p>
    <w:p w14:paraId="5DE062F1" w14:textId="77777777" w:rsidR="00911D69" w:rsidRDefault="00911D69" w:rsidP="00EA20B6">
      <w:pPr>
        <w:jc w:val="both"/>
        <w:rPr>
          <w:color w:val="000000" w:themeColor="text1"/>
        </w:rPr>
      </w:pPr>
    </w:p>
    <w:p w14:paraId="07B87AEC" w14:textId="77777777" w:rsidR="00911D69" w:rsidRDefault="00911D69" w:rsidP="00EA20B6">
      <w:pPr>
        <w:jc w:val="both"/>
        <w:rPr>
          <w:color w:val="000000" w:themeColor="text1"/>
        </w:rPr>
      </w:pPr>
    </w:p>
    <w:p w14:paraId="30B6CA3A" w14:textId="77777777" w:rsidR="00911D69" w:rsidRDefault="00911D69" w:rsidP="00EA20B6">
      <w:pPr>
        <w:jc w:val="both"/>
        <w:rPr>
          <w:color w:val="000000" w:themeColor="text1"/>
        </w:rPr>
      </w:pPr>
    </w:p>
    <w:p w14:paraId="563F1B09" w14:textId="77777777" w:rsidR="00911D69" w:rsidRDefault="00911D69" w:rsidP="00EA20B6">
      <w:pPr>
        <w:jc w:val="both"/>
        <w:rPr>
          <w:color w:val="000000" w:themeColor="text1"/>
        </w:rPr>
      </w:pPr>
    </w:p>
    <w:p w14:paraId="60361704" w14:textId="77777777" w:rsidR="00911D69" w:rsidRDefault="00911D69" w:rsidP="00EA20B6">
      <w:pPr>
        <w:jc w:val="both"/>
        <w:rPr>
          <w:color w:val="000000" w:themeColor="text1"/>
        </w:rPr>
      </w:pPr>
    </w:p>
    <w:p w14:paraId="71908CDD" w14:textId="77777777" w:rsidR="00911D69" w:rsidRDefault="00911D69" w:rsidP="00EA20B6">
      <w:pPr>
        <w:jc w:val="both"/>
        <w:rPr>
          <w:color w:val="000000" w:themeColor="text1"/>
        </w:rPr>
      </w:pPr>
    </w:p>
    <w:p w14:paraId="686958C7" w14:textId="77777777" w:rsidR="00911D69" w:rsidRPr="00A33CDF" w:rsidRDefault="00911D69" w:rsidP="00EA20B6">
      <w:pPr>
        <w:jc w:val="both"/>
        <w:rPr>
          <w:color w:val="000000" w:themeColor="text1"/>
        </w:rPr>
      </w:pPr>
    </w:p>
    <w:p w14:paraId="46E19522" w14:textId="77777777" w:rsidR="000B2AA0" w:rsidRPr="00CF725B" w:rsidRDefault="000B2AA0" w:rsidP="00CF725B">
      <w:pPr>
        <w:pStyle w:val="Ttulo1"/>
        <w:jc w:val="both"/>
        <w:rPr>
          <w:rFonts w:asciiTheme="minorHAnsi" w:hAnsiTheme="minorHAnsi"/>
          <w:b/>
          <w:bCs/>
          <w:color w:val="000000" w:themeColor="text1"/>
          <w:sz w:val="24"/>
          <w:szCs w:val="24"/>
        </w:rPr>
      </w:pPr>
      <w:bookmarkStart w:id="3" w:name="_Toc202646093"/>
      <w:r w:rsidRPr="00CF725B">
        <w:rPr>
          <w:rFonts w:asciiTheme="minorHAnsi" w:hAnsiTheme="minorHAnsi"/>
          <w:b/>
          <w:bCs/>
          <w:color w:val="000000" w:themeColor="text1"/>
          <w:sz w:val="24"/>
          <w:szCs w:val="24"/>
        </w:rPr>
        <w:lastRenderedPageBreak/>
        <w:t>4. Defina o que é uma SAML Assertion, para que serve e quais as vantagens da sua utilização.</w:t>
      </w:r>
      <w:bookmarkEnd w:id="3"/>
    </w:p>
    <w:p w14:paraId="490D825B" w14:textId="37760D1B" w:rsidR="00A33CDF" w:rsidRPr="00A33CDF" w:rsidRDefault="00A33CDF" w:rsidP="00CF725B">
      <w:pPr>
        <w:jc w:val="both"/>
        <w:rPr>
          <w:color w:val="000000" w:themeColor="text1"/>
        </w:rPr>
      </w:pPr>
      <w:r w:rsidRPr="00A33CDF">
        <w:rPr>
          <w:color w:val="000000" w:themeColor="text1"/>
        </w:rPr>
        <w:t>Uma SAML Assertion é uma declaração emitida por um Identity Provider contendo informações de identidade, autenticação ou autorização, que o Service Provider utiliza para confiar no utilizador.</w:t>
      </w:r>
    </w:p>
    <w:p w14:paraId="264EBB05" w14:textId="77777777" w:rsidR="00A33CDF" w:rsidRPr="00A33CDF" w:rsidRDefault="00A33CDF" w:rsidP="00CF725B">
      <w:pPr>
        <w:jc w:val="both"/>
        <w:rPr>
          <w:color w:val="000000" w:themeColor="text1"/>
        </w:rPr>
      </w:pPr>
      <w:r w:rsidRPr="00A33CDF">
        <w:rPr>
          <w:color w:val="000000" w:themeColor="text1"/>
        </w:rPr>
        <w:t>Serve para:</w:t>
      </w:r>
    </w:p>
    <w:p w14:paraId="3569801D" w14:textId="77777777" w:rsidR="00A33CDF" w:rsidRPr="00A33CDF" w:rsidRDefault="00A33CDF" w:rsidP="00CF725B">
      <w:pPr>
        <w:numPr>
          <w:ilvl w:val="0"/>
          <w:numId w:val="10"/>
        </w:numPr>
        <w:jc w:val="both"/>
        <w:rPr>
          <w:color w:val="000000" w:themeColor="text1"/>
        </w:rPr>
      </w:pPr>
      <w:r w:rsidRPr="00A33CDF">
        <w:rPr>
          <w:color w:val="000000" w:themeColor="text1"/>
        </w:rPr>
        <w:t>Declarar atos de autenticação.</w:t>
      </w:r>
    </w:p>
    <w:p w14:paraId="2B64B573" w14:textId="77777777" w:rsidR="00A33CDF" w:rsidRPr="00A33CDF" w:rsidRDefault="00A33CDF" w:rsidP="00CF725B">
      <w:pPr>
        <w:numPr>
          <w:ilvl w:val="0"/>
          <w:numId w:val="10"/>
        </w:numPr>
        <w:jc w:val="both"/>
        <w:rPr>
          <w:color w:val="000000" w:themeColor="text1"/>
        </w:rPr>
      </w:pPr>
      <w:r w:rsidRPr="00A33CDF">
        <w:rPr>
          <w:color w:val="000000" w:themeColor="text1"/>
        </w:rPr>
        <w:t>Informar atributos do utilizador.</w:t>
      </w:r>
    </w:p>
    <w:p w14:paraId="5191B93E" w14:textId="77777777" w:rsidR="00A33CDF" w:rsidRPr="00A33CDF" w:rsidRDefault="00A33CDF" w:rsidP="00CF725B">
      <w:pPr>
        <w:numPr>
          <w:ilvl w:val="0"/>
          <w:numId w:val="10"/>
        </w:numPr>
        <w:jc w:val="both"/>
        <w:rPr>
          <w:color w:val="000000" w:themeColor="text1"/>
        </w:rPr>
      </w:pPr>
      <w:r w:rsidRPr="00A33CDF">
        <w:rPr>
          <w:color w:val="000000" w:themeColor="text1"/>
        </w:rPr>
        <w:t>Informar decisões de autorização.</w:t>
      </w:r>
    </w:p>
    <w:p w14:paraId="5E7C6FC4" w14:textId="77777777" w:rsidR="00A33CDF" w:rsidRPr="00A33CDF" w:rsidRDefault="00A33CDF" w:rsidP="00CF725B">
      <w:pPr>
        <w:jc w:val="both"/>
        <w:rPr>
          <w:color w:val="000000" w:themeColor="text1"/>
        </w:rPr>
      </w:pPr>
      <w:r w:rsidRPr="00A33CDF">
        <w:rPr>
          <w:color w:val="000000" w:themeColor="text1"/>
        </w:rPr>
        <w:t>Vantagens:</w:t>
      </w:r>
    </w:p>
    <w:p w14:paraId="66D88FC9" w14:textId="77777777" w:rsidR="00A33CDF" w:rsidRPr="00A33CDF" w:rsidRDefault="00A33CDF" w:rsidP="00CF725B">
      <w:pPr>
        <w:numPr>
          <w:ilvl w:val="0"/>
          <w:numId w:val="11"/>
        </w:numPr>
        <w:jc w:val="both"/>
        <w:rPr>
          <w:color w:val="000000" w:themeColor="text1"/>
        </w:rPr>
      </w:pPr>
      <w:r w:rsidRPr="00A33CDF">
        <w:rPr>
          <w:color w:val="000000" w:themeColor="text1"/>
        </w:rPr>
        <w:t>Padrão aberto e interoperável.</w:t>
      </w:r>
    </w:p>
    <w:p w14:paraId="1D110D34" w14:textId="77777777" w:rsidR="00A33CDF" w:rsidRPr="00A33CDF" w:rsidRDefault="00A33CDF" w:rsidP="00CF725B">
      <w:pPr>
        <w:numPr>
          <w:ilvl w:val="0"/>
          <w:numId w:val="11"/>
        </w:numPr>
        <w:jc w:val="both"/>
        <w:rPr>
          <w:color w:val="000000" w:themeColor="text1"/>
          <w:lang w:val="en-US"/>
        </w:rPr>
      </w:pPr>
      <w:r w:rsidRPr="004936CB">
        <w:rPr>
          <w:color w:val="000000" w:themeColor="text1"/>
          <w:lang w:val="en-US"/>
        </w:rPr>
        <w:t>Suporte</w:t>
      </w:r>
      <w:r w:rsidRPr="00A33CDF">
        <w:rPr>
          <w:color w:val="000000" w:themeColor="text1"/>
          <w:lang w:val="en-US"/>
        </w:rPr>
        <w:t xml:space="preserve"> a Single Sign-On (SSO).</w:t>
      </w:r>
    </w:p>
    <w:p w14:paraId="32344F0B" w14:textId="77777777" w:rsidR="00A33CDF" w:rsidRPr="00A33CDF" w:rsidRDefault="00A33CDF" w:rsidP="00CF725B">
      <w:pPr>
        <w:numPr>
          <w:ilvl w:val="0"/>
          <w:numId w:val="11"/>
        </w:numPr>
        <w:jc w:val="both"/>
        <w:rPr>
          <w:color w:val="000000" w:themeColor="text1"/>
        </w:rPr>
      </w:pPr>
      <w:r w:rsidRPr="00A33CDF">
        <w:rPr>
          <w:color w:val="000000" w:themeColor="text1"/>
        </w:rPr>
        <w:t>Independente de fornecedor, baseado em XML e protocolos seguros.</w:t>
      </w:r>
    </w:p>
    <w:p w14:paraId="01B249A1" w14:textId="1E1EF881" w:rsidR="00911D69" w:rsidRPr="00911D69" w:rsidRDefault="00A33CDF" w:rsidP="00911D69">
      <w:pPr>
        <w:numPr>
          <w:ilvl w:val="0"/>
          <w:numId w:val="11"/>
        </w:numPr>
        <w:jc w:val="both"/>
        <w:rPr>
          <w:color w:val="000000" w:themeColor="text1"/>
        </w:rPr>
      </w:pPr>
      <w:r w:rsidRPr="00A33CDF">
        <w:rPr>
          <w:color w:val="000000" w:themeColor="text1"/>
        </w:rPr>
        <w:t>Centraliza a gestão de identidade, permitindo confiança federada entre sistemas.</w:t>
      </w:r>
    </w:p>
    <w:p w14:paraId="5C9E8E50" w14:textId="77777777" w:rsidR="00911D69" w:rsidRDefault="00911D69" w:rsidP="00911D69">
      <w:pPr>
        <w:pBdr>
          <w:bottom w:val="single" w:sz="12" w:space="1" w:color="auto"/>
        </w:pBdr>
        <w:jc w:val="both"/>
        <w:rPr>
          <w:color w:val="000000" w:themeColor="text1"/>
        </w:rPr>
      </w:pPr>
    </w:p>
    <w:p w14:paraId="5D1212E4" w14:textId="649C8545" w:rsidR="00911D69" w:rsidRDefault="00911D69" w:rsidP="00911D69">
      <w:pPr>
        <w:jc w:val="both"/>
        <w:rPr>
          <w:color w:val="000000" w:themeColor="text1"/>
        </w:rPr>
      </w:pPr>
      <w:r w:rsidRPr="00911D69">
        <w:rPr>
          <w:color w:val="000000" w:themeColor="text1"/>
        </w:rPr>
        <w:t>Uma SAML Assertion é uma declaração emitida por um Identity Provider que contém informações sobre um utilizador, como prova de autenticação, atributos ou decisões de autorização. Essas declarações são utilizadas por um Service Provider, que confia nelas para tomar decisões de acesso. As Assertions podem indicar que um utilizador foi autenticado, fornecer atributos como permissões ou perfis, ou conter decisões prévias de autorização. A principal vantagem da SAML está na sua normalização para troca segura de informações de identidade, sendo independente de fornecedor, baseada em XML e compatível com protocolos como SOAP e SSL. O seu foco é o suporte a Single Sign-On (SSO), permitindo que a identidade de um utilizador seja reconhecida em múltiplas aplicações de forma segura. A abordagem baseada em declarações facilita a interoperabilidade entre domínios distintos, onde a aplicação recetora decide se confia ou não na asserção recebida.</w:t>
      </w:r>
    </w:p>
    <w:p w14:paraId="41FB89D0" w14:textId="77777777" w:rsidR="00911D69" w:rsidRDefault="00911D69" w:rsidP="00911D69">
      <w:pPr>
        <w:jc w:val="both"/>
        <w:rPr>
          <w:color w:val="000000" w:themeColor="text1"/>
        </w:rPr>
      </w:pPr>
    </w:p>
    <w:p w14:paraId="3AB85765" w14:textId="77777777" w:rsidR="00911D69" w:rsidRPr="00A33CDF" w:rsidRDefault="00911D69" w:rsidP="00911D69">
      <w:pPr>
        <w:jc w:val="both"/>
        <w:rPr>
          <w:color w:val="000000" w:themeColor="text1"/>
        </w:rPr>
      </w:pPr>
    </w:p>
    <w:p w14:paraId="2502315C" w14:textId="77777777" w:rsidR="000B2AA0" w:rsidRPr="00CF725B" w:rsidRDefault="000B2AA0" w:rsidP="00CF725B">
      <w:pPr>
        <w:pStyle w:val="Ttulo1"/>
        <w:jc w:val="both"/>
        <w:rPr>
          <w:rFonts w:asciiTheme="minorHAnsi" w:hAnsiTheme="minorHAnsi"/>
          <w:b/>
          <w:bCs/>
          <w:color w:val="000000" w:themeColor="text1"/>
          <w:sz w:val="24"/>
          <w:szCs w:val="24"/>
        </w:rPr>
      </w:pPr>
      <w:bookmarkStart w:id="4" w:name="_Toc202646094"/>
      <w:r w:rsidRPr="00CF725B">
        <w:rPr>
          <w:rFonts w:asciiTheme="minorHAnsi" w:hAnsiTheme="minorHAnsi"/>
          <w:b/>
          <w:bCs/>
          <w:color w:val="000000" w:themeColor="text1"/>
          <w:sz w:val="24"/>
          <w:szCs w:val="24"/>
        </w:rPr>
        <w:lastRenderedPageBreak/>
        <w:t>5. Em que consiste o padrão Publish/Subscribe? Este padrão pode ser comparado a que outro padrão? Quais as suas vantagens?</w:t>
      </w:r>
      <w:bookmarkEnd w:id="4"/>
    </w:p>
    <w:p w14:paraId="38862D0B" w14:textId="46361CF8" w:rsidR="00A33CDF" w:rsidRPr="00A33CDF" w:rsidRDefault="00A33CDF" w:rsidP="00CF725B">
      <w:pPr>
        <w:jc w:val="both"/>
        <w:rPr>
          <w:color w:val="000000" w:themeColor="text1"/>
        </w:rPr>
      </w:pPr>
      <w:r w:rsidRPr="00A33CDF">
        <w:rPr>
          <w:color w:val="000000" w:themeColor="text1"/>
        </w:rPr>
        <w:t>O Publish/Subscribe é um modelo onde publishers enviam mensagens para tópicos e subscribers recebem mensagens dos tópicos aos quais estão inscritos. O sistema gere o roteamento sem necessidade de ligação direta entre produtor e consumidor.</w:t>
      </w:r>
    </w:p>
    <w:p w14:paraId="3A1E80B0" w14:textId="77777777" w:rsidR="00D82947" w:rsidRDefault="00A33CDF" w:rsidP="00CF725B">
      <w:pPr>
        <w:jc w:val="both"/>
        <w:rPr>
          <w:color w:val="000000" w:themeColor="text1"/>
        </w:rPr>
      </w:pPr>
      <w:r w:rsidRPr="00A33CDF">
        <w:rPr>
          <w:color w:val="000000" w:themeColor="text1"/>
        </w:rPr>
        <w:t>Comparação:</w:t>
      </w:r>
    </w:p>
    <w:p w14:paraId="0E7AD577" w14:textId="6D5A3E8C" w:rsidR="00A33CDF" w:rsidRPr="00A33CDF" w:rsidRDefault="00A33CDF" w:rsidP="00CF725B">
      <w:pPr>
        <w:jc w:val="both"/>
        <w:rPr>
          <w:color w:val="000000" w:themeColor="text1"/>
        </w:rPr>
      </w:pPr>
      <w:r w:rsidRPr="00A33CDF">
        <w:rPr>
          <w:color w:val="000000" w:themeColor="text1"/>
        </w:rPr>
        <w:t>Diferente do modelo ponto-a-ponto, onde há relação direta entre produtor e consumidor, no pub/sub uma mensagem pode ser entregue a múltiplos subscribers.</w:t>
      </w:r>
    </w:p>
    <w:p w14:paraId="195C013D" w14:textId="77777777" w:rsidR="00A33CDF" w:rsidRPr="00A33CDF" w:rsidRDefault="00A33CDF" w:rsidP="00CF725B">
      <w:pPr>
        <w:jc w:val="both"/>
        <w:rPr>
          <w:color w:val="000000" w:themeColor="text1"/>
        </w:rPr>
      </w:pPr>
      <w:r w:rsidRPr="00A33CDF">
        <w:rPr>
          <w:color w:val="000000" w:themeColor="text1"/>
        </w:rPr>
        <w:t>Vantagens:</w:t>
      </w:r>
    </w:p>
    <w:p w14:paraId="79A82DD0" w14:textId="77777777" w:rsidR="00A33CDF" w:rsidRPr="00A33CDF" w:rsidRDefault="00A33CDF" w:rsidP="00CF725B">
      <w:pPr>
        <w:numPr>
          <w:ilvl w:val="0"/>
          <w:numId w:val="12"/>
        </w:numPr>
        <w:jc w:val="both"/>
        <w:rPr>
          <w:color w:val="000000" w:themeColor="text1"/>
        </w:rPr>
      </w:pPr>
      <w:r w:rsidRPr="00A33CDF">
        <w:rPr>
          <w:color w:val="000000" w:themeColor="text1"/>
        </w:rPr>
        <w:t>Desacoplamento total entre produtores e consumidores.</w:t>
      </w:r>
    </w:p>
    <w:p w14:paraId="43F28EA8" w14:textId="77777777" w:rsidR="00A33CDF" w:rsidRPr="00A33CDF" w:rsidRDefault="00A33CDF" w:rsidP="00CF725B">
      <w:pPr>
        <w:numPr>
          <w:ilvl w:val="0"/>
          <w:numId w:val="12"/>
        </w:numPr>
        <w:jc w:val="both"/>
        <w:rPr>
          <w:color w:val="000000" w:themeColor="text1"/>
        </w:rPr>
      </w:pPr>
      <w:r w:rsidRPr="00A33CDF">
        <w:rPr>
          <w:color w:val="000000" w:themeColor="text1"/>
        </w:rPr>
        <w:t>Suporte natural a comunicação um-para-muitos.</w:t>
      </w:r>
    </w:p>
    <w:p w14:paraId="4B5793E1" w14:textId="77777777" w:rsidR="00A33CDF" w:rsidRPr="00A33CDF" w:rsidRDefault="00A33CDF" w:rsidP="00CF725B">
      <w:pPr>
        <w:numPr>
          <w:ilvl w:val="0"/>
          <w:numId w:val="12"/>
        </w:numPr>
        <w:jc w:val="both"/>
        <w:rPr>
          <w:color w:val="000000" w:themeColor="text1"/>
        </w:rPr>
      </w:pPr>
      <w:r w:rsidRPr="00A33CDF">
        <w:rPr>
          <w:color w:val="000000" w:themeColor="text1"/>
        </w:rPr>
        <w:t>Maior escalabilidade e tolerância a falhas.</w:t>
      </w:r>
    </w:p>
    <w:p w14:paraId="79D0F833" w14:textId="77777777" w:rsidR="00A33CDF" w:rsidRPr="00A33CDF" w:rsidRDefault="00A33CDF" w:rsidP="00CF725B">
      <w:pPr>
        <w:numPr>
          <w:ilvl w:val="0"/>
          <w:numId w:val="12"/>
        </w:numPr>
        <w:jc w:val="both"/>
        <w:rPr>
          <w:color w:val="000000" w:themeColor="text1"/>
        </w:rPr>
      </w:pPr>
      <w:r w:rsidRPr="00A33CDF">
        <w:rPr>
          <w:color w:val="000000" w:themeColor="text1"/>
        </w:rPr>
        <w:t>Comunicação assíncrona.</w:t>
      </w:r>
    </w:p>
    <w:p w14:paraId="54727E1E" w14:textId="666D4784" w:rsidR="00911D69" w:rsidRDefault="00A33CDF" w:rsidP="00911D69">
      <w:pPr>
        <w:numPr>
          <w:ilvl w:val="0"/>
          <w:numId w:val="12"/>
        </w:numPr>
        <w:jc w:val="both"/>
        <w:rPr>
          <w:color w:val="000000" w:themeColor="text1"/>
        </w:rPr>
      </w:pPr>
      <w:r w:rsidRPr="00A33CDF">
        <w:rPr>
          <w:color w:val="000000" w:themeColor="text1"/>
        </w:rPr>
        <w:t>Brokers gerem o estado e garantem entrega mesmo com falhas temporárias.</w:t>
      </w:r>
    </w:p>
    <w:p w14:paraId="35DF75AB" w14:textId="77777777" w:rsidR="00911D69" w:rsidRDefault="00911D69" w:rsidP="00911D69">
      <w:pPr>
        <w:pBdr>
          <w:bottom w:val="single" w:sz="12" w:space="1" w:color="auto"/>
        </w:pBdr>
        <w:jc w:val="both"/>
        <w:rPr>
          <w:color w:val="000000" w:themeColor="text1"/>
        </w:rPr>
      </w:pPr>
    </w:p>
    <w:p w14:paraId="13EAE853" w14:textId="79F16E73" w:rsidR="00911D69" w:rsidRPr="00911D69" w:rsidRDefault="00F631BC" w:rsidP="00911D69">
      <w:pPr>
        <w:jc w:val="both"/>
        <w:rPr>
          <w:color w:val="000000" w:themeColor="text1"/>
        </w:rPr>
      </w:pPr>
      <w:r w:rsidRPr="00F631BC">
        <w:rPr>
          <w:color w:val="000000" w:themeColor="text1"/>
        </w:rPr>
        <w:t>O padrão Publish/Subscribe define um modelo de comunicação assíncrona em que produtores publicam mensagens em tópicos, sem conhecer os consumidores finais, e consumidores subscrevem-se a tópicos para receber essas mensagens. Quando um evento é publicado, o sistema verifica quais os consumidores que estão subscritos e encaminha a mensagem para todos. Este modelo contrasta com o padrão ponto-a-ponto, onde existe uma ligação direta entre produtor e consumidor e cada mensagem é processada apenas por um destinatário. No Publish/Subscribe, uma única mensagem pode ser entregue a múltiplos subscritores, permitindo comunicação do tipo um-para-muitos. As vantagens incluem maior desacoplamento entre componentes, melhor suporte à escalabilidade, maior resiliência a falhas devido à natureza assíncrona e gestão eficiente do estado dos consumidores por parte dos brokers. Esta abordagem torna os sistemas mais flexíveis, modulares e preparados para ambientes distribuídos e dinâmicos.</w:t>
      </w:r>
    </w:p>
    <w:sectPr w:rsidR="00911D69" w:rsidRPr="00911D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D4B"/>
    <w:multiLevelType w:val="multilevel"/>
    <w:tmpl w:val="5A9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A49DD"/>
    <w:multiLevelType w:val="multilevel"/>
    <w:tmpl w:val="ADF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E2FAF"/>
    <w:multiLevelType w:val="multilevel"/>
    <w:tmpl w:val="30AA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50B3E"/>
    <w:multiLevelType w:val="multilevel"/>
    <w:tmpl w:val="EC74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A17D9"/>
    <w:multiLevelType w:val="multilevel"/>
    <w:tmpl w:val="3A96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64FDE"/>
    <w:multiLevelType w:val="multilevel"/>
    <w:tmpl w:val="76AA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E516D"/>
    <w:multiLevelType w:val="multilevel"/>
    <w:tmpl w:val="0A8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17B4D"/>
    <w:multiLevelType w:val="multilevel"/>
    <w:tmpl w:val="1BCC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35F7C"/>
    <w:multiLevelType w:val="multilevel"/>
    <w:tmpl w:val="E2F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35168"/>
    <w:multiLevelType w:val="multilevel"/>
    <w:tmpl w:val="7780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54FDC"/>
    <w:multiLevelType w:val="multilevel"/>
    <w:tmpl w:val="D6AA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DC1B1D"/>
    <w:multiLevelType w:val="multilevel"/>
    <w:tmpl w:val="B6F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302173">
    <w:abstractNumId w:val="8"/>
  </w:num>
  <w:num w:numId="2" w16cid:durableId="1730108245">
    <w:abstractNumId w:val="0"/>
  </w:num>
  <w:num w:numId="3" w16cid:durableId="1406687697">
    <w:abstractNumId w:val="2"/>
  </w:num>
  <w:num w:numId="4" w16cid:durableId="526219671">
    <w:abstractNumId w:val="11"/>
  </w:num>
  <w:num w:numId="5" w16cid:durableId="2060549055">
    <w:abstractNumId w:val="7"/>
  </w:num>
  <w:num w:numId="6" w16cid:durableId="505441616">
    <w:abstractNumId w:val="4"/>
  </w:num>
  <w:num w:numId="7" w16cid:durableId="1565097594">
    <w:abstractNumId w:val="9"/>
  </w:num>
  <w:num w:numId="8" w16cid:durableId="798301512">
    <w:abstractNumId w:val="10"/>
  </w:num>
  <w:num w:numId="9" w16cid:durableId="904488704">
    <w:abstractNumId w:val="1"/>
  </w:num>
  <w:num w:numId="10" w16cid:durableId="667556218">
    <w:abstractNumId w:val="5"/>
  </w:num>
  <w:num w:numId="11" w16cid:durableId="785781708">
    <w:abstractNumId w:val="3"/>
  </w:num>
  <w:num w:numId="12" w16cid:durableId="15684214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683"/>
    <w:rsid w:val="000B2AA0"/>
    <w:rsid w:val="001178A0"/>
    <w:rsid w:val="00425A35"/>
    <w:rsid w:val="004936CB"/>
    <w:rsid w:val="006A5A98"/>
    <w:rsid w:val="008138AE"/>
    <w:rsid w:val="008A012E"/>
    <w:rsid w:val="008C0D33"/>
    <w:rsid w:val="00911D69"/>
    <w:rsid w:val="00A16673"/>
    <w:rsid w:val="00A33CDF"/>
    <w:rsid w:val="00AC53B3"/>
    <w:rsid w:val="00B40FF0"/>
    <w:rsid w:val="00C373E8"/>
    <w:rsid w:val="00CF725B"/>
    <w:rsid w:val="00D71683"/>
    <w:rsid w:val="00D82947"/>
    <w:rsid w:val="00EA20B6"/>
    <w:rsid w:val="00F3006B"/>
    <w:rsid w:val="00F631B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C7A8"/>
  <w15:chartTrackingRefBased/>
  <w15:docId w15:val="{C843449E-2DB5-478E-A13F-41E465B0A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D69"/>
  </w:style>
  <w:style w:type="paragraph" w:styleId="Ttulo1">
    <w:name w:val="heading 1"/>
    <w:basedOn w:val="Normal"/>
    <w:next w:val="Normal"/>
    <w:link w:val="Ttulo1Carter"/>
    <w:uiPriority w:val="9"/>
    <w:qFormat/>
    <w:rsid w:val="00D71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71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716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716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716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716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716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716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71683"/>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71683"/>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71683"/>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71683"/>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71683"/>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71683"/>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71683"/>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71683"/>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71683"/>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71683"/>
    <w:rPr>
      <w:rFonts w:eastAsiaTheme="majorEastAsia" w:cstheme="majorBidi"/>
      <w:color w:val="272727" w:themeColor="text1" w:themeTint="D8"/>
    </w:rPr>
  </w:style>
  <w:style w:type="paragraph" w:styleId="Ttulo">
    <w:name w:val="Title"/>
    <w:basedOn w:val="Normal"/>
    <w:next w:val="Normal"/>
    <w:link w:val="TtuloCarter"/>
    <w:uiPriority w:val="10"/>
    <w:qFormat/>
    <w:rsid w:val="00D71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716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71683"/>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7168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7168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71683"/>
    <w:rPr>
      <w:i/>
      <w:iCs/>
      <w:color w:val="404040" w:themeColor="text1" w:themeTint="BF"/>
    </w:rPr>
  </w:style>
  <w:style w:type="paragraph" w:styleId="PargrafodaLista">
    <w:name w:val="List Paragraph"/>
    <w:basedOn w:val="Normal"/>
    <w:uiPriority w:val="34"/>
    <w:qFormat/>
    <w:rsid w:val="00D71683"/>
    <w:pPr>
      <w:ind w:left="720"/>
      <w:contextualSpacing/>
    </w:pPr>
  </w:style>
  <w:style w:type="character" w:styleId="nfaseIntensa">
    <w:name w:val="Intense Emphasis"/>
    <w:basedOn w:val="Tipodeletrapredefinidodopargrafo"/>
    <w:uiPriority w:val="21"/>
    <w:qFormat/>
    <w:rsid w:val="00D71683"/>
    <w:rPr>
      <w:i/>
      <w:iCs/>
      <w:color w:val="0F4761" w:themeColor="accent1" w:themeShade="BF"/>
    </w:rPr>
  </w:style>
  <w:style w:type="paragraph" w:styleId="CitaoIntensa">
    <w:name w:val="Intense Quote"/>
    <w:basedOn w:val="Normal"/>
    <w:next w:val="Normal"/>
    <w:link w:val="CitaoIntensaCarter"/>
    <w:uiPriority w:val="30"/>
    <w:qFormat/>
    <w:rsid w:val="00D71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71683"/>
    <w:rPr>
      <w:i/>
      <w:iCs/>
      <w:color w:val="0F4761" w:themeColor="accent1" w:themeShade="BF"/>
    </w:rPr>
  </w:style>
  <w:style w:type="character" w:styleId="RefernciaIntensa">
    <w:name w:val="Intense Reference"/>
    <w:basedOn w:val="Tipodeletrapredefinidodopargrafo"/>
    <w:uiPriority w:val="32"/>
    <w:qFormat/>
    <w:rsid w:val="00D71683"/>
    <w:rPr>
      <w:b/>
      <w:bCs/>
      <w:smallCaps/>
      <w:color w:val="0F4761" w:themeColor="accent1" w:themeShade="BF"/>
      <w:spacing w:val="5"/>
    </w:rPr>
  </w:style>
  <w:style w:type="paragraph" w:styleId="Cabealhodondice">
    <w:name w:val="TOC Heading"/>
    <w:basedOn w:val="Ttulo1"/>
    <w:next w:val="Normal"/>
    <w:uiPriority w:val="39"/>
    <w:unhideWhenUsed/>
    <w:qFormat/>
    <w:rsid w:val="00F3006B"/>
    <w:pPr>
      <w:spacing w:before="240" w:after="0" w:line="259" w:lineRule="auto"/>
      <w:outlineLvl w:val="9"/>
    </w:pPr>
    <w:rPr>
      <w:kern w:val="0"/>
      <w:sz w:val="32"/>
      <w:szCs w:val="32"/>
      <w:lang w:eastAsia="pt-PT"/>
      <w14:ligatures w14:val="none"/>
    </w:rPr>
  </w:style>
  <w:style w:type="paragraph" w:styleId="ndice1">
    <w:name w:val="toc 1"/>
    <w:basedOn w:val="Normal"/>
    <w:next w:val="Normal"/>
    <w:autoRedefine/>
    <w:uiPriority w:val="39"/>
    <w:unhideWhenUsed/>
    <w:rsid w:val="00CF725B"/>
    <w:pPr>
      <w:spacing w:after="100"/>
    </w:pPr>
  </w:style>
  <w:style w:type="character" w:styleId="Hiperligao">
    <w:name w:val="Hyperlink"/>
    <w:basedOn w:val="Tipodeletrapredefinidodopargrafo"/>
    <w:uiPriority w:val="99"/>
    <w:unhideWhenUsed/>
    <w:rsid w:val="00CF725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3420">
      <w:bodyDiv w:val="1"/>
      <w:marLeft w:val="0"/>
      <w:marRight w:val="0"/>
      <w:marTop w:val="0"/>
      <w:marBottom w:val="0"/>
      <w:divBdr>
        <w:top w:val="none" w:sz="0" w:space="0" w:color="auto"/>
        <w:left w:val="none" w:sz="0" w:space="0" w:color="auto"/>
        <w:bottom w:val="none" w:sz="0" w:space="0" w:color="auto"/>
        <w:right w:val="none" w:sz="0" w:space="0" w:color="auto"/>
      </w:divBdr>
    </w:div>
    <w:div w:id="123548862">
      <w:bodyDiv w:val="1"/>
      <w:marLeft w:val="0"/>
      <w:marRight w:val="0"/>
      <w:marTop w:val="0"/>
      <w:marBottom w:val="0"/>
      <w:divBdr>
        <w:top w:val="none" w:sz="0" w:space="0" w:color="auto"/>
        <w:left w:val="none" w:sz="0" w:space="0" w:color="auto"/>
        <w:bottom w:val="none" w:sz="0" w:space="0" w:color="auto"/>
        <w:right w:val="none" w:sz="0" w:space="0" w:color="auto"/>
      </w:divBdr>
    </w:div>
    <w:div w:id="523249174">
      <w:bodyDiv w:val="1"/>
      <w:marLeft w:val="0"/>
      <w:marRight w:val="0"/>
      <w:marTop w:val="0"/>
      <w:marBottom w:val="0"/>
      <w:divBdr>
        <w:top w:val="none" w:sz="0" w:space="0" w:color="auto"/>
        <w:left w:val="none" w:sz="0" w:space="0" w:color="auto"/>
        <w:bottom w:val="none" w:sz="0" w:space="0" w:color="auto"/>
        <w:right w:val="none" w:sz="0" w:space="0" w:color="auto"/>
      </w:divBdr>
    </w:div>
    <w:div w:id="602766910">
      <w:bodyDiv w:val="1"/>
      <w:marLeft w:val="0"/>
      <w:marRight w:val="0"/>
      <w:marTop w:val="0"/>
      <w:marBottom w:val="0"/>
      <w:divBdr>
        <w:top w:val="none" w:sz="0" w:space="0" w:color="auto"/>
        <w:left w:val="none" w:sz="0" w:space="0" w:color="auto"/>
        <w:bottom w:val="none" w:sz="0" w:space="0" w:color="auto"/>
        <w:right w:val="none" w:sz="0" w:space="0" w:color="auto"/>
      </w:divBdr>
    </w:div>
    <w:div w:id="1127890515">
      <w:bodyDiv w:val="1"/>
      <w:marLeft w:val="0"/>
      <w:marRight w:val="0"/>
      <w:marTop w:val="0"/>
      <w:marBottom w:val="0"/>
      <w:divBdr>
        <w:top w:val="none" w:sz="0" w:space="0" w:color="auto"/>
        <w:left w:val="none" w:sz="0" w:space="0" w:color="auto"/>
        <w:bottom w:val="none" w:sz="0" w:space="0" w:color="auto"/>
        <w:right w:val="none" w:sz="0" w:space="0" w:color="auto"/>
      </w:divBdr>
    </w:div>
    <w:div w:id="156175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A2BB4-9C15-4024-8A99-C39A8EBE0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Pages>
  <Words>1517</Words>
  <Characters>8195</Characters>
  <Application>Microsoft Office Word</Application>
  <DocSecurity>0</DocSecurity>
  <Lines>68</Lines>
  <Paragraphs>19</Paragraphs>
  <ScaleCrop>false</ScaleCrop>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Gaspar</dc:creator>
  <cp:keywords/>
  <dc:description/>
  <cp:lastModifiedBy>João Gaspar</cp:lastModifiedBy>
  <cp:revision>17</cp:revision>
  <dcterms:created xsi:type="dcterms:W3CDTF">2025-07-02T18:39:00Z</dcterms:created>
  <dcterms:modified xsi:type="dcterms:W3CDTF">2025-07-05T23:59:00Z</dcterms:modified>
</cp:coreProperties>
</file>