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mbria" w:cs="Cambria" w:eastAsia="Cambria" w:hAnsi="Cambria"/>
          <w:b/>
          <w:bCs/>
          <w:color w:val="1F3D24"/>
          <w:sz w:val="64"/>
          <w:szCs w:val="64"/>
        </w:rPr>
        <w:t xml:space="preserve">CLUBE.ORG</w:t>
      </w:r>
    </w:p>
    <w:p>
      <w:pPr>
        <w:spacing w:before="200"/>
        <w:jc w:val="center"/>
      </w:pPr>
      <w:r>
        <w:rPr>
          <w:rFonts w:ascii="Cambria" w:cs="Cambria" w:eastAsia="Cambria" w:hAnsi="Cambria"/>
          <w:color w:val="2C5F2D"/>
          <w:sz w:val="36"/>
          <w:szCs w:val="36"/>
        </w:rPr>
        <w:t xml:space="preserve">Plano de Negócios</w:t>
      </w:r>
    </w:p>
    <w:p>
      <w:pPr>
        <w:spacing w:before="400"/>
        <w:jc w:val="center"/>
      </w:pPr>
      <w:r>
        <w:rPr>
          <w:rFonts w:ascii="Calibri" w:cs="Calibri" w:eastAsia="Calibri" w:hAnsi="Calibri"/>
          <w:i/>
          <w:iCs/>
          <w:color w:val="5B6B5E"/>
          <w:sz w:val="22"/>
          <w:szCs w:val="22"/>
        </w:rPr>
        <w:t xml:space="preserve">Clube de assinatura semanal de vegetais orgânicos, com fornecedores regionais, centro de distribuição próprio e curadoria de sazonalidade.</w:t>
      </w:r>
    </w:p>
    <w:p>
      <w:pPr>
        <w:spacing w:before="1600"/>
        <w:jc w:val="center"/>
      </w:pPr>
      <w:r>
        <w:rPr>
          <w:rFonts w:ascii="Calibri" w:cs="Calibri" w:eastAsia="Calibri" w:hAnsi="Calibri"/>
          <w:b/>
          <w:bCs/>
          <w:color w:val="C97A2B"/>
          <w:sz w:val="22"/>
          <w:szCs w:val="22"/>
        </w:rPr>
        <w:t xml:space="preserve">Material para consultores e investidores</w:t>
      </w:r>
    </w:p>
    <w:p>
      <w:pPr>
        <w:spacing w:before="100"/>
        <w:jc w:val="center"/>
      </w:pPr>
      <w:r>
        <w:rPr>
          <w:rFonts w:ascii="Calibri" w:cs="Calibri" w:eastAsia="Calibri" w:hAnsi="Calibri"/>
          <w:color w:val="5B6B5E"/>
          <w:sz w:val="20"/>
          <w:szCs w:val="20"/>
        </w:rPr>
        <w:t xml:space="preserve">Agosto de 2026  ·  Versão 1.1</w:t>
      </w:r>
    </w:p>
    <w:p>
      <w:r>
        <w:br w:type="page"/>
      </w:r>
    </w:p>
    <w:p>
      <w:pPr>
        <w:pStyle w:val="Heading1"/>
        <w:spacing w:after="200" w:before="400"/>
      </w:pPr>
      <w:r>
        <w:t xml:space="preserve">Sumário</w:t>
      </w:r>
    </w:p>
    <w:p>
      <w:pPr>
        <w:spacing w:after="140"/>
      </w:pPr>
      <w:r>
        <w:rPr>
          <w:rFonts w:ascii="Calibri" w:cs="Calibri" w:eastAsia="Calibri" w:hAnsi="Calibri"/>
          <w:sz w:val="22"/>
          <w:szCs w:val="22"/>
        </w:rPr>
        <w:t xml:space="preserve">1. Sumário Executivo</w:t>
      </w:r>
    </w:p>
    <w:p>
      <w:pPr>
        <w:spacing w:after="140"/>
      </w:pPr>
      <w:r>
        <w:rPr>
          <w:rFonts w:ascii="Calibri" w:cs="Calibri" w:eastAsia="Calibri" w:hAnsi="Calibri"/>
          <w:sz w:val="22"/>
          <w:szCs w:val="22"/>
        </w:rPr>
        <w:t xml:space="preserve">2. Análise de Mercado</w:t>
      </w:r>
    </w:p>
    <w:p>
      <w:pPr>
        <w:spacing w:after="140"/>
      </w:pPr>
      <w:r>
        <w:rPr>
          <w:rFonts w:ascii="Calibri" w:cs="Calibri" w:eastAsia="Calibri" w:hAnsi="Calibri"/>
          <w:sz w:val="22"/>
          <w:szCs w:val="22"/>
        </w:rPr>
        <w:t xml:space="preserve">3. Proposta de Valor e Modelo de Negócio</w:t>
      </w:r>
    </w:p>
    <w:p>
      <w:pPr>
        <w:spacing w:after="140"/>
      </w:pPr>
      <w:r>
        <w:rPr>
          <w:rFonts w:ascii="Calibri" w:cs="Calibri" w:eastAsia="Calibri" w:hAnsi="Calibri"/>
          <w:sz w:val="22"/>
          <w:szCs w:val="22"/>
        </w:rPr>
        <w:t xml:space="preserve">4. Operação: Fornecedores → CD → Delivery</w:t>
      </w:r>
    </w:p>
    <w:p>
      <w:pPr>
        <w:spacing w:after="140"/>
      </w:pPr>
      <w:r>
        <w:rPr>
          <w:rFonts w:ascii="Calibri" w:cs="Calibri" w:eastAsia="Calibri" w:hAnsi="Calibri"/>
          <w:sz w:val="22"/>
          <w:szCs w:val="22"/>
        </w:rPr>
        <w:t xml:space="preserve">5. Tecnologia</w:t>
      </w:r>
    </w:p>
    <w:p>
      <w:pPr>
        <w:spacing w:after="140"/>
      </w:pPr>
      <w:r>
        <w:rPr>
          <w:rFonts w:ascii="Calibri" w:cs="Calibri" w:eastAsia="Calibri" w:hAnsi="Calibri"/>
          <w:sz w:val="22"/>
          <w:szCs w:val="22"/>
        </w:rPr>
        <w:t xml:space="preserve">6. Marketing e Aquisição</w:t>
      </w:r>
    </w:p>
    <w:p>
      <w:pPr>
        <w:spacing w:after="140"/>
      </w:pPr>
      <w:r>
        <w:rPr>
          <w:rFonts w:ascii="Calibri" w:cs="Calibri" w:eastAsia="Calibri" w:hAnsi="Calibri"/>
          <w:sz w:val="22"/>
          <w:szCs w:val="22"/>
        </w:rPr>
        <w:t xml:space="preserve">7. Compliance e Regulatório</w:t>
      </w:r>
    </w:p>
    <w:p>
      <w:pPr>
        <w:spacing w:after="140"/>
      </w:pPr>
      <w:r>
        <w:rPr>
          <w:rFonts w:ascii="Calibri" w:cs="Calibri" w:eastAsia="Calibri" w:hAnsi="Calibri"/>
          <w:sz w:val="22"/>
          <w:szCs w:val="22"/>
        </w:rPr>
        <w:t xml:space="preserve">8. Estrutura Organizacional</w:t>
      </w:r>
    </w:p>
    <w:p>
      <w:pPr>
        <w:spacing w:after="140"/>
      </w:pPr>
      <w:r>
        <w:rPr>
          <w:rFonts w:ascii="Calibri" w:cs="Calibri" w:eastAsia="Calibri" w:hAnsi="Calibri"/>
          <w:sz w:val="22"/>
          <w:szCs w:val="22"/>
        </w:rPr>
        <w:t xml:space="preserve">9. Análise SWOT</w:t>
      </w:r>
    </w:p>
    <w:p>
      <w:pPr>
        <w:spacing w:after="140"/>
      </w:pPr>
      <w:r>
        <w:rPr>
          <w:rFonts w:ascii="Calibri" w:cs="Calibri" w:eastAsia="Calibri" w:hAnsi="Calibri"/>
          <w:sz w:val="22"/>
          <w:szCs w:val="22"/>
        </w:rPr>
        <w:t xml:space="preserve">10. Riscos e Mitigação</w:t>
      </w:r>
    </w:p>
    <w:p>
      <w:pPr>
        <w:spacing w:after="140"/>
      </w:pPr>
      <w:r>
        <w:rPr>
          <w:rFonts w:ascii="Calibri" w:cs="Calibri" w:eastAsia="Calibri" w:hAnsi="Calibri"/>
          <w:sz w:val="22"/>
          <w:szCs w:val="22"/>
        </w:rPr>
        <w:t xml:space="preserve">11. Plano Financeiro</w:t>
      </w:r>
    </w:p>
    <w:p>
      <w:pPr>
        <w:spacing w:after="140"/>
      </w:pPr>
      <w:r>
        <w:rPr>
          <w:rFonts w:ascii="Calibri" w:cs="Calibri" w:eastAsia="Calibri" w:hAnsi="Calibri"/>
          <w:sz w:val="22"/>
          <w:szCs w:val="22"/>
        </w:rPr>
        <w:t xml:space="preserve">12. Escalabilidade e Modelo de Expansão</w:t>
      </w:r>
    </w:p>
    <w:p>
      <w:pPr>
        <w:spacing w:after="140"/>
      </w:pPr>
      <w:r>
        <w:rPr>
          <w:rFonts w:ascii="Calibri" w:cs="Calibri" w:eastAsia="Calibri" w:hAnsi="Calibri"/>
          <w:sz w:val="22"/>
          <w:szCs w:val="22"/>
        </w:rPr>
        <w:t xml:space="preserve">13. Roadmap de Implementação</w:t>
      </w:r>
    </w:p>
    <w:p>
      <w:pPr>
        <w:spacing w:after="140"/>
      </w:pPr>
      <w:r>
        <w:rPr>
          <w:rFonts w:ascii="Calibri" w:cs="Calibri" w:eastAsia="Calibri" w:hAnsi="Calibri"/>
          <w:sz w:val="22"/>
          <w:szCs w:val="22"/>
        </w:rPr>
        <w:t xml:space="preserve">14. Indicadores-Chave (KPIs)</w:t>
      </w:r>
    </w:p>
    <w:p>
      <w:pPr>
        <w:spacing w:after="140"/>
      </w:pPr>
      <w:r>
        <w:rPr>
          <w:rFonts w:ascii="Calibri" w:cs="Calibri" w:eastAsia="Calibri" w:hAnsi="Calibri"/>
          <w:sz w:val="22"/>
          <w:szCs w:val="22"/>
        </w:rPr>
        <w:t xml:space="preserve">15. Veredito de Viabilidade e Escalabilidade</w:t>
      </w:r>
    </w:p>
    <w:p>
      <w:pPr>
        <w:spacing w:after="140"/>
      </w:pPr>
      <w:r>
        <w:rPr>
          <w:rFonts w:ascii="Calibri" w:cs="Calibri" w:eastAsia="Calibri" w:hAnsi="Calibri"/>
          <w:sz w:val="22"/>
          <w:szCs w:val="22"/>
        </w:rPr>
        <w:t xml:space="preserve">16. Próximos Passos Recomendados</w:t>
      </w:r>
    </w:p>
    <w:p>
      <w:r>
        <w:br w:type="page"/>
      </w:r>
    </w:p>
    <w:p>
      <w:pPr>
        <w:pStyle w:val="Heading1"/>
        <w:spacing w:after="200" w:before="400"/>
      </w:pPr>
      <w:r>
        <w:t xml:space="preserve">1. Sumário Executivo</w:t>
      </w:r>
    </w:p>
    <w:p>
      <w:pPr>
        <w:spacing w:after="160" w:line="288"/>
      </w:pPr>
      <w:r>
        <w:rPr>
          <w:rFonts w:ascii="Calibri" w:cs="Calibri" w:eastAsia="Calibri" w:hAnsi="Calibri"/>
          <w:sz w:val="22"/>
          <w:szCs w:val="22"/>
        </w:rPr>
        <w:t xml:space="preserve">O Clube.org é um serviço de assinatura recorrente que conecta pequenos e médios produtores orgânicos regionais a consumidores urbanos, entregando semanalmente uma cesta de vegetais, legumes e frutas frescas, organizada em torno da safra da estação, com curadoria de qualidade feita em um Centro de Distribuição (CD) próprio antes do delivery.</w:t>
      </w:r>
    </w:p>
    <w:p>
      <w:pPr>
        <w:spacing w:after="160" w:line="288"/>
      </w:pPr>
      <w:r>
        <w:rPr>
          <w:rFonts w:ascii="Calibri" w:cs="Calibri" w:eastAsia="Calibri" w:hAnsi="Calibri"/>
          <w:sz w:val="22"/>
          <w:szCs w:val="22"/>
        </w:rPr>
        <w:t xml:space="preserve">O diferencial não é apenas "vender orgânico" — é resolver três dores simultâneas:</w:t>
      </w:r>
    </w:p>
    <w:p>
      <w:pPr>
        <w:pStyle w:val="ListParagraph"/>
        <w:numPr>
          <w:ilvl w:val="0"/>
          <w:numId w:val="1"/>
        </w:numPr>
        <w:spacing w:after="90" w:line="276"/>
      </w:pPr>
      <w:r>
        <w:t xml:space="preserve">Do consumidor: confiança na origem/qualidade, comodidade e preço mais estável que orgânico de prateleira de supermercado.</w:t>
      </w:r>
    </w:p>
    <w:p>
      <w:pPr>
        <w:pStyle w:val="ListParagraph"/>
        <w:numPr>
          <w:ilvl w:val="0"/>
          <w:numId w:val="1"/>
        </w:numPr>
        <w:spacing w:after="90" w:line="276"/>
      </w:pPr>
      <w:r>
        <w:t xml:space="preserve">Do produtor regional: escoamento previsível da produção, sem depender só de feira/CEASA, com pagamento e planejamento antecipados.</w:t>
      </w:r>
    </w:p>
    <w:p>
      <w:pPr>
        <w:pStyle w:val="ListParagraph"/>
        <w:numPr>
          <w:ilvl w:val="0"/>
          <w:numId w:val="1"/>
        </w:numPr>
        <w:spacing w:after="90" w:line="276"/>
      </w:pPr>
      <w:r>
        <w:t xml:space="preserve">Do mercado: hoje a oferta é fragmentada entre feiras (baixa conveniência), supermercados premium (caro, curadoria fraca) e food-techs generalistas (sortimento amplo, sem foco em sazonalidade).</w:t>
      </w:r>
    </w:p>
    <w:p>
      <w:pPr>
        <w:spacing w:after="160" w:line="288"/>
      </w:pPr>
      <w:r>
        <w:rPr>
          <w:rFonts w:ascii="Calibri" w:cs="Calibri" w:eastAsia="Calibri" w:hAnsi="Calibri"/>
          <w:sz w:val="22"/>
          <w:szCs w:val="22"/>
        </w:rPr>
        <w:t xml:space="preserve">A receita vem de uma assinatura semanal ou quinzenal, complementada por venda avulsa via loja online. Este documento cobre mercado (incluindo comparativo entre capitais candidatas), modelo de negócio, operação, tecnologia, marketing, compliance, riscos, plano financeiro, escalabilidade e o veredito de viabilidade.</w:t>
      </w:r>
    </w:p>
    <w:p>
      <w:pPr>
        <w:pStyle w:val="Heading1"/>
        <w:spacing w:after="200" w:before="400"/>
      </w:pPr>
      <w:r>
        <w:t xml:space="preserve">2. Análise de Mercado</w:t>
      </w:r>
    </w:p>
    <w:p>
      <w:pPr>
        <w:pStyle w:val="Heading2"/>
        <w:spacing w:after="140" w:before="280"/>
      </w:pPr>
      <w:r>
        <w:t xml:space="preserve">2.1 Panorama e tendências</w:t>
      </w:r>
    </w:p>
    <w:p>
      <w:pPr>
        <w:pStyle w:val="ListParagraph"/>
        <w:numPr>
          <w:ilvl w:val="0"/>
          <w:numId w:val="1"/>
        </w:numPr>
        <w:spacing w:after="90" w:line="276"/>
      </w:pPr>
      <w:r>
        <w:t xml:space="preserve">Mercado brasileiro de orgânicos avaliado em US$ 4,3 bilhões em 2025, com projeção de US$ 16,7 bilhões até 2034 (CAGR ~15,9%) — IMARC Group.</w:t>
      </w:r>
    </w:p>
    <w:p>
      <w:pPr>
        <w:pStyle w:val="ListParagraph"/>
        <w:numPr>
          <w:ilvl w:val="0"/>
          <w:numId w:val="1"/>
        </w:numPr>
        <w:spacing w:after="90" w:line="276"/>
      </w:pPr>
      <w:r>
        <w:t xml:space="preserve">Volume de produção orgânica cresceu 12% no último ano, o maior índice já registrado (Organis).</w:t>
      </w:r>
    </w:p>
    <w:p>
      <w:pPr>
        <w:pStyle w:val="ListParagraph"/>
        <w:numPr>
          <w:ilvl w:val="0"/>
          <w:numId w:val="1"/>
        </w:numPr>
        <w:spacing w:after="90" w:line="276"/>
      </w:pPr>
      <w:r>
        <w:t xml:space="preserve">Penetração de consumo quase dobrou em 6 anos: 15% dos domicílios em 2017 → 36% em 2023 (Organis).</w:t>
      </w:r>
    </w:p>
    <w:p>
      <w:pPr>
        <w:pStyle w:val="ListParagraph"/>
        <w:numPr>
          <w:ilvl w:val="0"/>
          <w:numId w:val="1"/>
        </w:numPr>
        <w:spacing w:after="90" w:line="276"/>
      </w:pPr>
      <w:r>
        <w:t xml:space="preserve">Insight-chave: o Sudeste (SP/RJ) tem a menor penetração regional (30%) — menor que Nordeste (45%) e Centro-Oeste (42%). A praça "óbvia" não é onde a categoria mais penetrou.</w:t>
      </w:r>
    </w:p>
    <w:p>
      <w:pPr>
        <w:pStyle w:val="ListParagraph"/>
        <w:numPr>
          <w:ilvl w:val="0"/>
          <w:numId w:val="1"/>
        </w:numPr>
        <w:spacing w:after="90" w:line="276"/>
      </w:pPr>
      <w:r>
        <w:t xml:space="preserve">Preços de orgânicos in natura caíram até 8% (IBGE), ampliando o público endereçável.</w:t>
      </w:r>
    </w:p>
    <w:p>
      <w:pPr>
        <w:pStyle w:val="ListParagraph"/>
        <w:numPr>
          <w:ilvl w:val="0"/>
          <w:numId w:val="1"/>
        </w:numPr>
        <w:spacing w:after="90" w:line="276"/>
      </w:pPr>
      <w:r>
        <w:t xml:space="preserve">Canal de venda direta (assinatura, e-commerce) cresce mais rápido que o canal físico tradicional.</w:t>
      </w:r>
    </w:p>
    <w:p>
      <w:pPr>
        <w:pStyle w:val="Heading2"/>
        <w:spacing w:after="140" w:before="280"/>
      </w:pPr>
      <w:r>
        <w:t xml:space="preserve">2.2 Público-alvo</w:t>
      </w:r>
    </w:p>
    <w:p>
      <w:pPr>
        <w:pStyle w:val="ListParagraph"/>
        <w:numPr>
          <w:ilvl w:val="0"/>
          <w:numId w:val="1"/>
        </w:numPr>
        <w:spacing w:after="90" w:line="276"/>
      </w:pPr>
      <w:r>
        <w:t xml:space="preserve">Perfil primário: famílias classe A/B, 28–50 anos, já compram orgânico esporadicamente, ticket disponível de R$70–180/semana.</w:t>
      </w:r>
    </w:p>
    <w:p>
      <w:pPr>
        <w:pStyle w:val="ListParagraph"/>
        <w:numPr>
          <w:ilvl w:val="0"/>
          <w:numId w:val="1"/>
        </w:numPr>
        <w:spacing w:after="90" w:line="276"/>
      </w:pPr>
      <w:r>
        <w:t xml:space="preserve">Perfil secundário: famílias com filhos pequenos, vegetarianos/veganos/low-carb.</w:t>
      </w:r>
    </w:p>
    <w:p>
      <w:pPr>
        <w:pStyle w:val="ListParagraph"/>
        <w:numPr>
          <w:ilvl w:val="0"/>
          <w:numId w:val="1"/>
        </w:numPr>
        <w:spacing w:after="90" w:line="276"/>
      </w:pPr>
      <w:r>
        <w:t xml:space="preserve">Comportamento: já usam apps de delivery, valorizam conveniência e propósito ("apoie o produtor local").</w:t>
      </w:r>
    </w:p>
    <w:p>
      <w:pPr>
        <w:pStyle w:val="Heading2"/>
        <w:spacing w:after="140" w:before="280"/>
      </w:pPr>
      <w:r>
        <w:t xml:space="preserve">2.3 Concorrência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2805"/>
        <w:gridCol w:w="3740"/>
      </w:tblGrid>
      <w:tr>
        <w:trPr>
          <w:cantSplit/>
          <w:tblHeader/>
        </w:trPr>
        <w:tc>
          <w:tcPr>
            <w:tcW w:type="dxa" w:w="280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Player</w:t>
            </w:r>
          </w:p>
        </w:tc>
        <w:tc>
          <w:tcPr>
            <w:tcW w:type="dxa" w:w="280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Praça</w:t>
            </w:r>
          </w:p>
        </w:tc>
        <w:tc>
          <w:tcPr>
            <w:tcW w:type="dxa" w:w="374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Preço observado</w:t>
            </w:r>
          </w:p>
        </w:tc>
      </w:tr>
      <w:tr>
        <w:trPr>
          <w:cantSplit/>
        </w:trPr>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Flora Orgânicos</w:t>
            </w:r>
          </w:p>
        </w:tc>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Brasília (DF)</w:t>
            </w:r>
          </w:p>
        </w:tc>
        <w:tc>
          <w:tcPr>
            <w:tcW w:type="dxa" w:w="374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 partir de R$ 26/entrega</w:t>
            </w:r>
          </w:p>
        </w:tc>
      </w:tr>
      <w:tr>
        <w:trPr>
          <w:cantSplit/>
        </w:trPr>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Clube Orgânico</w:t>
            </w:r>
          </w:p>
        </w:tc>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Multi-praça</w:t>
            </w:r>
          </w:p>
        </w:tc>
        <w:tc>
          <w:tcPr>
            <w:tcW w:type="dxa" w:w="374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R$ 45,95 – R$ 95,90/entrega</w:t>
            </w:r>
          </w:p>
        </w:tc>
      </w:tr>
      <w:tr>
        <w:trPr>
          <w:cantSplit/>
        </w:trPr>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Clube +Q (Mais Quitanda)</w:t>
            </w:r>
          </w:p>
        </w:tc>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Multi-praça</w:t>
            </w:r>
          </w:p>
        </w:tc>
        <w:tc>
          <w:tcPr>
            <w:tcW w:type="dxa" w:w="374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R$ 54 – R$ 240/mês</w:t>
            </w:r>
          </w:p>
        </w:tc>
      </w:tr>
      <w:tr>
        <w:trPr>
          <w:cantSplit/>
        </w:trPr>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Terra Forte Orgânicos</w:t>
            </w:r>
          </w:p>
        </w:tc>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Multi-praça</w:t>
            </w:r>
          </w:p>
        </w:tc>
        <w:tc>
          <w:tcPr>
            <w:tcW w:type="dxa" w:w="374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Assinatura semanal, frete grátis</w:t>
            </w:r>
          </w:p>
        </w:tc>
      </w:tr>
      <w:tr>
        <w:trPr>
          <w:cantSplit/>
        </w:trPr>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Horti Clube (iFrutus)</w:t>
            </w:r>
          </w:p>
        </w:tc>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São Paulo (SP)</w:t>
            </w:r>
          </w:p>
        </w:tc>
        <w:tc>
          <w:tcPr>
            <w:tcW w:type="dxa" w:w="374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 opções de cesta</w:t>
            </w:r>
          </w:p>
        </w:tc>
      </w:tr>
      <w:tr>
        <w:trPr>
          <w:cantSplit/>
        </w:trPr>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Fungo de Quintal</w:t>
            </w:r>
          </w:p>
        </w:tc>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Multi-praça (nicho)</w:t>
            </w:r>
          </w:p>
        </w:tc>
        <w:tc>
          <w:tcPr>
            <w:tcW w:type="dxa" w:w="374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 partir de R$ 25/mês</w:t>
            </w:r>
          </w:p>
        </w:tc>
      </w:tr>
    </w:tbl>
    <w:p>
      <w:pPr>
        <w:spacing w:after="240" w:before="60"/>
      </w:pPr>
      <w:r>
        <w:rPr>
          <w:rFonts w:ascii="Calibri" w:cs="Calibri" w:eastAsia="Calibri" w:hAnsi="Calibri"/>
          <w:i/>
          <w:iCs/>
          <w:color w:val="5B6B5E"/>
          <w:sz w:val="18"/>
          <w:szCs w:val="18"/>
        </w:rPr>
        <w:t xml:space="preserve">Leitura estratégica: o modelo já está validado no Brasil, mas todos os players mapeados operam em escala pequena/regional, com tecnologia simples. A oportunidade não é entrar na categoria — é profissionalizá-la e escalá-la.</w:t>
      </w:r>
    </w:p>
    <w:p>
      <w:pPr>
        <w:pStyle w:val="Heading2"/>
        <w:spacing w:after="140" w:before="280"/>
      </w:pPr>
      <w:r>
        <w:t xml:space="preserve">2.4 Comparativo entre capitais candidatas</w:t>
      </w:r>
    </w:p>
    <w:p>
      <w:pPr>
        <w:spacing w:after="160" w:line="288"/>
      </w:pPr>
      <w:r>
        <w:rPr>
          <w:rFonts w:ascii="Calibri" w:cs="Calibri" w:eastAsia="Calibri" w:hAnsi="Calibri"/>
          <w:sz w:val="22"/>
          <w:szCs w:val="22"/>
        </w:rPr>
        <w:t xml:space="preserve">Cinco variáveis definem a escolha da praça-piloto e a ordem de expansão: densidade de fornecedores certificados a até ~100km, poder de compra, penetração regional de orgânicos, intensidade de concorrência instalada, e tamanho do mercado endereçável.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683"/>
        <w:gridCol w:w="1870"/>
        <w:gridCol w:w="2244"/>
        <w:gridCol w:w="1683"/>
      </w:tblGrid>
      <w:tr>
        <w:trPr>
          <w:cantSplit/>
          <w:tblHeader/>
        </w:trPr>
        <w:tc>
          <w:tcPr>
            <w:tcW w:type="dxa" w:w="187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Capital</w:t>
            </w:r>
          </w:p>
        </w:tc>
        <w:tc>
          <w:tcPr>
            <w:tcW w:type="dxa" w:w="1683"/>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População</w:t>
            </w:r>
          </w:p>
        </w:tc>
        <w:tc>
          <w:tcPr>
            <w:tcW w:type="dxa" w:w="187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Renda per capita (estado)</w:t>
            </w:r>
          </w:p>
        </w:tc>
        <w:tc>
          <w:tcPr>
            <w:tcW w:type="dxa" w:w="2244"/>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Produtores certificados (CNPO)</w:t>
            </w:r>
          </w:p>
        </w:tc>
        <w:tc>
          <w:tcPr>
            <w:tcW w:type="dxa" w:w="1683"/>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Concorrência direta</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Curitiba (PR)</w:t>
            </w:r>
          </w:p>
        </w:tc>
        <w:tc>
          <w:tcPr>
            <w:tcW w:type="dxa" w:w="168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1,83 mi / 3,72 mi RM</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R$ 2.762 (5ª maior)</w:t>
            </w:r>
          </w:p>
        </w:tc>
        <w:tc>
          <w:tcPr>
            <w:tcW w:type="dxa" w:w="2244"/>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4.510 — a maior do Brasil</w:t>
            </w:r>
          </w:p>
        </w:tc>
        <w:tc>
          <w:tcPr>
            <w:tcW w:type="dxa" w:w="168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Nenhuma mapeada</w:t>
            </w:r>
          </w:p>
        </w:tc>
      </w:tr>
      <w:tr>
        <w:trPr>
          <w:cantSplit/>
        </w:trPr>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Porto Alegre (RS)</w:t>
            </w:r>
          </w:p>
        </w:tc>
        <w:tc>
          <w:tcPr>
            <w:tcW w:type="dxa" w:w="168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RM 4,17 mi</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R$ 2.839 (3ª maior)</w:t>
            </w:r>
          </w:p>
        </w:tc>
        <w:tc>
          <w:tcPr>
            <w:tcW w:type="dxa" w:w="2244"/>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3.273 — 2ª maior do Brasil</w:t>
            </w:r>
          </w:p>
        </w:tc>
        <w:tc>
          <w:tcPr>
            <w:tcW w:type="dxa" w:w="168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Nenhuma mapeada</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Brasília (DF)</w:t>
            </w:r>
          </w:p>
        </w:tc>
        <w:tc>
          <w:tcPr>
            <w:tcW w:type="dxa" w:w="168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3,0 mi</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R$ 4.538 — a maior do país</w:t>
            </w:r>
          </w:p>
        </w:tc>
        <w:tc>
          <w:tcPr>
            <w:tcW w:type="dxa" w:w="2244"/>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Não identificado (gap — validar)</w:t>
            </w:r>
          </w:p>
        </w:tc>
        <w:tc>
          <w:tcPr>
            <w:tcW w:type="dxa" w:w="168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Flora Orgânicos já opera</w:t>
            </w:r>
          </w:p>
        </w:tc>
      </w:tr>
      <w:tr>
        <w:trPr>
          <w:cantSplit/>
        </w:trPr>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São Paulo (SP)</w:t>
            </w:r>
          </w:p>
        </w:tc>
        <w:tc>
          <w:tcPr>
            <w:tcW w:type="dxa" w:w="168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11,9 mi — a maior capital</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R$ 2.956 (2ª maior)</w:t>
            </w:r>
          </w:p>
        </w:tc>
        <w:tc>
          <w:tcPr>
            <w:tcW w:type="dxa" w:w="2244"/>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Não identificado (gap — validar)</w:t>
            </w:r>
          </w:p>
        </w:tc>
        <w:tc>
          <w:tcPr>
            <w:tcW w:type="dxa" w:w="168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Horti Clube e outros</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Florianópolis (SC)</w:t>
            </w:r>
          </w:p>
        </w:tc>
        <w:tc>
          <w:tcPr>
            <w:tcW w:type="dxa" w:w="168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RM 1,49 mi (+1,93%/ano)</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R$ 2.809 (4ª maior)</w:t>
            </w:r>
          </w:p>
        </w:tc>
        <w:tc>
          <w:tcPr>
            <w:tcW w:type="dxa" w:w="2244"/>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Não identificado (gap — validar)</w:t>
            </w:r>
          </w:p>
        </w:tc>
        <w:tc>
          <w:tcPr>
            <w:tcW w:type="dxa" w:w="168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Nenhuma mapeada</w:t>
            </w:r>
          </w:p>
        </w:tc>
      </w:tr>
    </w:tbl>
    <w:p>
      <w:pPr>
        <w:spacing w:after="240" w:before="60"/>
      </w:pPr>
      <w:r>
        <w:rPr>
          <w:rFonts w:ascii="Calibri" w:cs="Calibri" w:eastAsia="Calibri" w:hAnsi="Calibri"/>
          <w:i/>
          <w:iCs/>
          <w:color w:val="5B6B5E"/>
          <w:sz w:val="18"/>
          <w:szCs w:val="18"/>
        </w:rPr>
        <w:t xml:space="preserve">Fontes: IBGE/PNAD Contínua 2025; MAPA/CNPO; Organis; ver seção 2.5 para a lista completa de fontes.</w:t>
      </w:r>
    </w:p>
    <w:p>
      <w:pPr>
        <w:spacing w:after="160" w:line="288"/>
      </w:pPr>
      <w:r>
        <w:rPr>
          <w:rFonts w:ascii="Calibri" w:cs="Calibri" w:eastAsia="Calibri" w:hAnsi="Calibri"/>
          <w:sz w:val="22"/>
          <w:szCs w:val="22"/>
        </w:rPr>
        <w:t xml:space="preserve">Recomendação: Curitiba desponta como a melhor praça-piloto — maior densidade de fornecedores certificados do Brasil por larga margem, renda per capita sólida, cinturão verde estruturado, e nenhum concorrente nacional relevante identificado. Sequência de expansão recomendada: Curitiba → Porto Alegre → São Paulo → Brasília / Florianópolis.</w:t>
      </w:r>
    </w:p>
    <w:p>
      <w:pPr>
        <w:pStyle w:val="Heading2"/>
        <w:spacing w:after="140" w:before="280"/>
      </w:pPr>
      <w:r>
        <w:t xml:space="preserve">2.5 Fontes</w:t>
      </w:r>
    </w:p>
    <w:p>
      <w:pPr>
        <w:pStyle w:val="ListParagraph"/>
        <w:numPr>
          <w:ilvl w:val="0"/>
          <w:numId w:val="1"/>
        </w:numPr>
        <w:spacing w:after="90" w:line="276"/>
      </w:pPr>
      <w:r>
        <w:t xml:space="preserve">Organis — Panorama do Mercado Orgânico Brasileiro (organis.org.br)</w:t>
      </w:r>
    </w:p>
    <w:p>
      <w:pPr>
        <w:pStyle w:val="ListParagraph"/>
        <w:numPr>
          <w:ilvl w:val="0"/>
          <w:numId w:val="1"/>
        </w:numPr>
        <w:spacing w:after="90" w:line="276"/>
      </w:pPr>
      <w:r>
        <w:t xml:space="preserve">IMARC Group — Brazil Organic Food Market</w:t>
      </w:r>
    </w:p>
    <w:p>
      <w:pPr>
        <w:pStyle w:val="ListParagraph"/>
        <w:numPr>
          <w:ilvl w:val="0"/>
          <w:numId w:val="1"/>
        </w:numPr>
        <w:spacing w:after="90" w:line="276"/>
      </w:pPr>
      <w:r>
        <w:t xml:space="preserve">MAPA — Cadastro Nacional de Produtores Orgânicos (CNPO), dados.agricultura.gov.br</w:t>
      </w:r>
    </w:p>
    <w:p>
      <w:pPr>
        <w:pStyle w:val="ListParagraph"/>
        <w:numPr>
          <w:ilvl w:val="0"/>
          <w:numId w:val="1"/>
        </w:numPr>
        <w:spacing w:after="90" w:line="276"/>
      </w:pPr>
      <w:r>
        <w:t xml:space="preserve">IBGE — PNAD Contínua 2025 (renda domiciliar per capita) e Estimativas de População 2025</w:t>
      </w:r>
    </w:p>
    <w:p>
      <w:pPr>
        <w:pStyle w:val="ListParagraph"/>
        <w:numPr>
          <w:ilvl w:val="0"/>
          <w:numId w:val="1"/>
        </w:numPr>
        <w:spacing w:after="90" w:line="276"/>
      </w:pPr>
      <w:r>
        <w:t xml:space="preserve">Reportagens setoriais sobre concorrentes diretos e sobre o programa Paraná Mais Orgânico</w:t>
      </w:r>
    </w:p>
    <w:p>
      <w:pPr>
        <w:pStyle w:val="Heading1"/>
        <w:spacing w:after="200" w:before="400"/>
      </w:pPr>
      <w:r>
        <w:t xml:space="preserve">3. Proposta de Valor e Modelo de Negócio</w:t>
      </w:r>
    </w:p>
    <w:p>
      <w:pPr>
        <w:pStyle w:val="Heading2"/>
        <w:spacing w:after="140" w:before="280"/>
      </w:pPr>
      <w:r>
        <w:t xml:space="preserve">3.1 Proposta de valor</w:t>
      </w:r>
    </w:p>
    <w:p>
      <w:pPr>
        <w:pStyle w:val="ListParagraph"/>
        <w:numPr>
          <w:ilvl w:val="0"/>
          <w:numId w:val="1"/>
        </w:numPr>
        <w:spacing w:after="90" w:line="276"/>
      </w:pPr>
      <w:r>
        <w:t xml:space="preserve">Para o cliente: curadoria de sazonalidade, previsibilidade de qualidade, flexibilidade (pausar/trocar), preço direto do produtor.</w:t>
      </w:r>
    </w:p>
    <w:p>
      <w:pPr>
        <w:pStyle w:val="ListParagraph"/>
        <w:numPr>
          <w:ilvl w:val="0"/>
          <w:numId w:val="1"/>
        </w:numPr>
        <w:spacing w:after="90" w:line="276"/>
      </w:pPr>
      <w:r>
        <w:t xml:space="preserve">Para o fornecedor: canal de escoamento recorrente e previsível, visibilidade de demanda, pagamento em ciclo definido.</w:t>
      </w:r>
    </w:p>
    <w:p>
      <w:pPr>
        <w:pStyle w:val="Heading2"/>
        <w:spacing w:after="140" w:before="280"/>
      </w:pPr>
      <w:r>
        <w:t xml:space="preserve">3.2 Estrutura de planos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2805"/>
        <w:gridCol w:w="2338"/>
        <w:gridCol w:w="2338"/>
      </w:tblGrid>
      <w:tr>
        <w:trPr>
          <w:cantSplit/>
          <w:tblHeader/>
        </w:trPr>
        <w:tc>
          <w:tcPr>
            <w:tcW w:type="dxa" w:w="187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Plano</w:t>
            </w:r>
          </w:p>
        </w:tc>
        <w:tc>
          <w:tcPr>
            <w:tcW w:type="dxa" w:w="280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Conteúdo</w:t>
            </w:r>
          </w:p>
        </w:tc>
        <w:tc>
          <w:tcPr>
            <w:tcW w:type="dxa" w:w="2338"/>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Público</w:t>
            </w:r>
          </w:p>
        </w:tc>
        <w:tc>
          <w:tcPr>
            <w:tcW w:type="dxa" w:w="2338"/>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Ticket sugerido</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Solo</w:t>
            </w:r>
          </w:p>
        </w:tc>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6–8 itens, ~3–4kg</w:t>
            </w:r>
          </w:p>
        </w:tc>
        <w:tc>
          <w:tcPr>
            <w:tcW w:type="dxa" w:w="23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1–2 pessoas</w:t>
            </w:r>
          </w:p>
        </w:tc>
        <w:tc>
          <w:tcPr>
            <w:tcW w:type="dxa" w:w="23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R$ 69–89/semana</w:t>
            </w:r>
          </w:p>
        </w:tc>
      </w:tr>
      <w:tr>
        <w:trPr>
          <w:cantSplit/>
        </w:trPr>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Família</w:t>
            </w:r>
          </w:p>
        </w:tc>
        <w:tc>
          <w:tcPr>
            <w:tcW w:type="dxa" w:w="280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10–14 itens, ~6–7kg</w:t>
            </w:r>
          </w:p>
        </w:tc>
        <w:tc>
          <w:tcPr>
            <w:tcW w:type="dxa" w:w="233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3–4 pessoas</w:t>
            </w:r>
          </w:p>
        </w:tc>
        <w:tc>
          <w:tcPr>
            <w:tcW w:type="dxa" w:w="233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R$ 119–149/semana</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Família +</w:t>
            </w:r>
          </w:p>
        </w:tc>
        <w:tc>
          <w:tcPr>
            <w:tcW w:type="dxa" w:w="280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14–18 itens + adicionais</w:t>
            </w:r>
          </w:p>
        </w:tc>
        <w:tc>
          <w:tcPr>
            <w:tcW w:type="dxa" w:w="23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 pessoas</w:t>
            </w:r>
          </w:p>
        </w:tc>
        <w:tc>
          <w:tcPr>
            <w:tcW w:type="dxa" w:w="23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R$ 169–199/semana</w:t>
            </w:r>
          </w:p>
        </w:tc>
      </w:tr>
    </w:tbl>
    <w:p>
      <w:pPr>
        <w:spacing w:after="160" w:line="288"/>
      </w:pPr>
      <w:r>
        <w:rPr>
          <w:rFonts w:ascii="Calibri" w:cs="Calibri" w:eastAsia="Calibri" w:hAnsi="Calibri"/>
          <w:sz w:val="22"/>
          <w:szCs w:val="22"/>
        </w:rPr>
        <w:t xml:space="preserve">Complementos de receita: add-ons avulsos (ovos, mel, temperos), loja avulsa para não assinantes, e planos corporativos (fruteira de escritório) como diversificação futura.</w:t>
      </w:r>
    </w:p>
    <w:p>
      <w:pPr>
        <w:pStyle w:val="Heading1"/>
        <w:spacing w:after="200" w:before="400"/>
      </w:pPr>
      <w:r>
        <w:t xml:space="preserve">4. Operação: Fornecedores → CD → Delivery</w:t>
      </w:r>
    </w:p>
    <w:p>
      <w:pPr>
        <w:pStyle w:val="Heading2"/>
        <w:spacing w:after="140" w:before="280"/>
      </w:pPr>
      <w:r>
        <w:t xml:space="preserve">4.1 Fornecedores regionais</w:t>
      </w:r>
    </w:p>
    <w:p>
      <w:pPr>
        <w:pStyle w:val="ListParagraph"/>
        <w:numPr>
          <w:ilvl w:val="0"/>
          <w:numId w:val="1"/>
        </w:numPr>
        <w:spacing w:after="90" w:line="276"/>
      </w:pPr>
      <w:r>
        <w:t xml:space="preserve">Rede de 8–15 produtores regionais na fase inicial, em raio de até 100km do CD — limite escolhido para manter o produto colhido há menos de 24–48h na cesta.</w:t>
      </w:r>
    </w:p>
    <w:p>
      <w:pPr>
        <w:pStyle w:val="ListParagraph"/>
        <w:numPr>
          <w:ilvl w:val="0"/>
          <w:numId w:val="1"/>
        </w:numPr>
        <w:spacing w:after="90" w:line="276"/>
      </w:pPr>
      <w:r>
        <w:t xml:space="preserve">Cada fornecedor declara disponibilidade e preço semanal via app, com prazo de corte.</w:t>
      </w:r>
    </w:p>
    <w:p>
      <w:pPr>
        <w:pStyle w:val="ListParagraph"/>
        <w:numPr>
          <w:ilvl w:val="0"/>
          <w:numId w:val="1"/>
        </w:numPr>
        <w:spacing w:after="90" w:line="276"/>
      </w:pPr>
      <w:r>
        <w:t xml:space="preserve">Contrato-padrão: certificação orgânica válida obrigatória, política de preço, volume mín./máx., prazo de pagamento curto (semanal/quinzenal).</w:t>
      </w:r>
    </w:p>
    <w:p>
      <w:pPr>
        <w:pStyle w:val="ListParagraph"/>
        <w:numPr>
          <w:ilvl w:val="0"/>
          <w:numId w:val="1"/>
        </w:numPr>
        <w:spacing w:after="90" w:line="276"/>
      </w:pPr>
      <w:r>
        <w:t xml:space="preserve">Diversificação obrigatória: nenhum fornecedor responde por mais de ~20–25% do volume semanal.</w:t>
      </w:r>
    </w:p>
    <w:p>
      <w:pPr>
        <w:pStyle w:val="Heading3"/>
        <w:spacing w:after="100" w:before="200"/>
      </w:pPr>
      <w:r>
        <w:t xml:space="preserve">4.1.1 Metodologia para mapear fornecedores em 100km</w:t>
      </w:r>
    </w:p>
    <w:p>
      <w:pPr>
        <w:pStyle w:val="ListParagraph"/>
        <w:numPr>
          <w:ilvl w:val="0"/>
          <w:numId w:val="1"/>
        </w:numPr>
        <w:spacing w:after="90" w:line="276"/>
      </w:pPr>
      <w:r>
        <w:t xml:space="preserve">Baixar a planilha do CNPO (dados.agricultura.gov.br) e filtrar por município (não só estado).</w:t>
      </w:r>
    </w:p>
    <w:p>
      <w:pPr>
        <w:pStyle w:val="ListParagraph"/>
        <w:numPr>
          <w:ilvl w:val="0"/>
          <w:numId w:val="1"/>
        </w:numPr>
        <w:spacing w:after="90" w:line="276"/>
      </w:pPr>
      <w:r>
        <w:t xml:space="preserve">Cruzar com a lista de municípios a até 100km da capital candidata e geocodificar a distância real até o CD.</w:t>
      </w:r>
    </w:p>
    <w:p>
      <w:pPr>
        <w:pStyle w:val="ListParagraph"/>
        <w:numPr>
          <w:ilvl w:val="0"/>
          <w:numId w:val="1"/>
        </w:numPr>
        <w:spacing w:after="90" w:line="276"/>
      </w:pPr>
      <w:r>
        <w:t xml:space="preserve">Classificar por cultura, garantindo cobertura de sazonalidade (folhosas, raízes, frutas).</w:t>
      </w:r>
    </w:p>
    <w:p>
      <w:pPr>
        <w:pStyle w:val="ListParagraph"/>
        <w:numPr>
          <w:ilvl w:val="0"/>
          <w:numId w:val="1"/>
        </w:numPr>
        <w:spacing w:after="90" w:line="276"/>
      </w:pPr>
      <w:r>
        <w:t xml:space="preserve">Validar com contato direto (amostra de 10–20 produtores) a disposição real a fornecer em regime de recorrência.</w:t>
      </w:r>
    </w:p>
    <w:p>
      <w:pPr>
        <w:pStyle w:val="Heading2"/>
        <w:spacing w:after="140" w:before="280"/>
      </w:pPr>
      <w:r>
        <w:t xml:space="preserve">4.2 Centro de Distribuição (CD)</w:t>
      </w:r>
    </w:p>
    <w:p>
      <w:pPr>
        <w:spacing w:after="160" w:line="288"/>
      </w:pPr>
      <w:r>
        <w:rPr>
          <w:rFonts w:ascii="Calibri" w:cs="Calibri" w:eastAsia="Calibri" w:hAnsi="Calibri"/>
          <w:sz w:val="22"/>
          <w:szCs w:val="22"/>
        </w:rPr>
        <w:t xml:space="preserve">Fluxo semanal: recebimento e conferência (segunda de manhã) → definição do cardápio da semana com base no que chegou → separação e embalagem por plano → delivery por rota otimizada (terça a quinta) → fechamento e conciliação (sexta).</w:t>
      </w:r>
    </w:p>
    <w:p>
      <w:pPr>
        <w:pStyle w:val="Heading2"/>
        <w:spacing w:after="140" w:before="280"/>
      </w:pPr>
      <w:r>
        <w:t xml:space="preserve">4.3 Sazonalidade como motor operacional</w:t>
      </w:r>
    </w:p>
    <w:p>
      <w:pPr>
        <w:spacing w:after="160" w:line="288"/>
      </w:pPr>
      <w:r>
        <w:rPr>
          <w:rFonts w:ascii="Calibri" w:cs="Calibri" w:eastAsia="Calibri" w:hAnsi="Calibri"/>
          <w:sz w:val="22"/>
          <w:szCs w:val="22"/>
        </w:rPr>
        <w:t xml:space="preserve">O catálogo não é fixo — é definido semana a semana pelo que os fornecedores confirmam, exigindo comunicação clara ao cliente com antecedência. Vantagens: menor desperdício, preço mais estável, narrativa autêntica.</w:t>
      </w:r>
    </w:p>
    <w:p>
      <w:pPr>
        <w:pStyle w:val="Heading2"/>
        <w:spacing w:after="140" w:before="280"/>
      </w:pPr>
      <w:r>
        <w:t xml:space="preserve">4.4 Logística de última milha</w:t>
      </w:r>
    </w:p>
    <w:p>
      <w:pPr>
        <w:spacing w:after="160" w:line="288"/>
      </w:pPr>
      <w:r>
        <w:rPr>
          <w:rFonts w:ascii="Calibri" w:cs="Calibri" w:eastAsia="Calibri" w:hAnsi="Calibri"/>
          <w:sz w:val="22"/>
          <w:szCs w:val="22"/>
        </w:rPr>
        <w:t xml:space="preserve">Fase 1: frota própria pequena em raio urbano concentrado. Fase 2: modelo híbrido com parceiros terceirizados para expansão de área.</w:t>
      </w:r>
    </w:p>
    <w:p>
      <w:pPr>
        <w:pStyle w:val="Heading1"/>
        <w:spacing w:after="200" w:before="400"/>
      </w:pPr>
      <w:r>
        <w:t xml:space="preserve">5. Tecnologia</w:t>
      </w:r>
    </w:p>
    <w:p>
      <w:pPr>
        <w:pStyle w:val="Heading2"/>
        <w:spacing w:after="140" w:before="280"/>
      </w:pPr>
      <w:r>
        <w:t xml:space="preserve">5.1 Site institucional + loja</w:t>
      </w:r>
    </w:p>
    <w:p>
      <w:pPr>
        <w:spacing w:after="160" w:line="288"/>
      </w:pPr>
      <w:r>
        <w:rPr>
          <w:rFonts w:ascii="Calibri" w:cs="Calibri" w:eastAsia="Calibri" w:hAnsi="Calibri"/>
          <w:sz w:val="22"/>
          <w:szCs w:val="22"/>
        </w:rPr>
        <w:t xml:space="preserve">Apresentação da proposta, planos e preços, storytelling dos produtores, blog de conteúdo (SEO) e loja online para assinatura e compra avulsa.</w:t>
      </w:r>
    </w:p>
    <w:p>
      <w:pPr>
        <w:pStyle w:val="Heading2"/>
        <w:spacing w:after="140" w:before="280"/>
      </w:pPr>
      <w:r>
        <w:t xml:space="preserve">5.2 Aplicação de gestão — dois lados</w:t>
      </w:r>
    </w:p>
    <w:p>
      <w:pPr>
        <w:pStyle w:val="Heading3"/>
        <w:spacing w:after="100" w:before="200"/>
      </w:pPr>
      <w:r>
        <w:t xml:space="preserve">App/portal do fornecedor</w:t>
      </w:r>
    </w:p>
    <w:p>
      <w:pPr>
        <w:pStyle w:val="ListParagraph"/>
        <w:numPr>
          <w:ilvl w:val="0"/>
          <w:numId w:val="1"/>
        </w:numPr>
        <w:spacing w:after="90" w:line="276"/>
      </w:pPr>
      <w:r>
        <w:t xml:space="preserve">Cadastro de produtos, preço e disponibilidade semanal.</w:t>
      </w:r>
    </w:p>
    <w:p>
      <w:pPr>
        <w:pStyle w:val="ListParagraph"/>
        <w:numPr>
          <w:ilvl w:val="0"/>
          <w:numId w:val="1"/>
        </w:numPr>
        <w:spacing w:after="90" w:line="276"/>
      </w:pPr>
      <w:r>
        <w:t xml:space="preserve">Calendário de entregas no CD e comprovantes de recebimento.</w:t>
      </w:r>
    </w:p>
    <w:p>
      <w:pPr>
        <w:pStyle w:val="ListParagraph"/>
        <w:numPr>
          <w:ilvl w:val="0"/>
          <w:numId w:val="1"/>
        </w:numPr>
        <w:spacing w:after="90" w:line="276"/>
      </w:pPr>
      <w:r>
        <w:t xml:space="preserve">Nota fiscal, histórico de pagamentos e indicadores de demanda.</w:t>
      </w:r>
    </w:p>
    <w:p>
      <w:pPr>
        <w:pStyle w:val="Heading3"/>
        <w:spacing w:after="100" w:before="200"/>
      </w:pPr>
      <w:r>
        <w:t xml:space="preserve">App/portal do cliente</w:t>
      </w:r>
    </w:p>
    <w:p>
      <w:pPr>
        <w:pStyle w:val="ListParagraph"/>
        <w:numPr>
          <w:ilvl w:val="0"/>
          <w:numId w:val="1"/>
        </w:numPr>
        <w:spacing w:after="90" w:line="276"/>
      </w:pPr>
      <w:r>
        <w:t xml:space="preserve">Gestão de plano (upgrade/downgrade, pausar, cancelar).</w:t>
      </w:r>
    </w:p>
    <w:p>
      <w:pPr>
        <w:pStyle w:val="ListParagraph"/>
        <w:numPr>
          <w:ilvl w:val="0"/>
          <w:numId w:val="1"/>
        </w:numPr>
        <w:spacing w:after="90" w:line="276"/>
      </w:pPr>
      <w:r>
        <w:t xml:space="preserve">Cardápio da semana com antecedência e troca de itens.</w:t>
      </w:r>
    </w:p>
    <w:p>
      <w:pPr>
        <w:pStyle w:val="ListParagraph"/>
        <w:numPr>
          <w:ilvl w:val="0"/>
          <w:numId w:val="1"/>
        </w:numPr>
        <w:spacing w:after="90" w:line="276"/>
      </w:pPr>
      <w:r>
        <w:t xml:space="preserve">Rastreamento do pedido, histórico e avaliação de qualidade.</w:t>
      </w:r>
    </w:p>
    <w:p>
      <w:pPr>
        <w:pStyle w:val="Heading3"/>
        <w:spacing w:after="100" w:before="200"/>
      </w:pPr>
      <w:r>
        <w:t xml:space="preserve">Backend interno</w:t>
      </w:r>
    </w:p>
    <w:p>
      <w:pPr>
        <w:pStyle w:val="ListParagraph"/>
        <w:numPr>
          <w:ilvl w:val="0"/>
          <w:numId w:val="1"/>
        </w:numPr>
        <w:spacing w:after="90" w:line="276"/>
      </w:pPr>
      <w:r>
        <w:t xml:space="preserve">Painel de compras consolidadas, gestão de separação/embalagem, roteirização, dashboard de perdas/churn/financeiro.</w:t>
      </w:r>
    </w:p>
    <w:p>
      <w:pPr>
        <w:spacing w:after="160" w:line="288"/>
      </w:pPr>
      <w:r>
        <w:rPr>
          <w:rFonts w:ascii="Calibri" w:cs="Calibri" w:eastAsia="Calibri" w:hAnsi="Calibri"/>
          <w:sz w:val="22"/>
          <w:szCs w:val="22"/>
        </w:rPr>
        <w:t xml:space="preserve">Recomendação de execução: usar plataforma pronta de assinatura/e-commerce integrada a um app leve no-code/low-code no MVP, migrando para desenvolvimento proprietário apenas acima de ~1.500–2.000 assinantes ativos.</w:t>
      </w:r>
    </w:p>
    <w:p>
      <w:pPr>
        <w:pStyle w:val="Heading2"/>
        <w:spacing w:after="140" w:before="280"/>
      </w:pPr>
      <w:r>
        <w:t xml:space="preserve">5.3 Integração de pagamento</w:t>
      </w:r>
    </w:p>
    <w:p>
      <w:pPr>
        <w:spacing w:after="160" w:line="288"/>
      </w:pPr>
      <w:r>
        <w:rPr>
          <w:rFonts w:ascii="Calibri" w:cs="Calibri" w:eastAsia="Calibri" w:hAnsi="Calibri"/>
          <w:sz w:val="22"/>
          <w:szCs w:val="22"/>
        </w:rPr>
        <w:t xml:space="preserve">Gateway com cobrança recorrente e PIX automático (ex.: Pagar.me, Vindi, Iugu, Asaas), com retry automático e comunicação proativa antes de suspender a assinatura.</w:t>
      </w:r>
    </w:p>
    <w:p>
      <w:pPr>
        <w:pStyle w:val="Heading2"/>
        <w:spacing w:after="140" w:before="280"/>
      </w:pPr>
      <w:r>
        <w:t xml:space="preserve">5.4 Redes sociais e conteúdo</w:t>
      </w:r>
    </w:p>
    <w:p>
      <w:pPr>
        <w:spacing w:after="160" w:line="288"/>
      </w:pPr>
      <w:r>
        <w:rPr>
          <w:rFonts w:ascii="Calibri" w:cs="Calibri" w:eastAsia="Calibri" w:hAnsi="Calibri"/>
          <w:sz w:val="22"/>
          <w:szCs w:val="22"/>
        </w:rPr>
        <w:t xml:space="preserve">Instagram/TikTok como canais primários (bastidores, receitas, sazonalidade), WhatsApp operacional e de retenção, parcerias com micro-influenciadores locais e programa de indicação como principal canal de aquisição em regime.</w:t>
      </w:r>
    </w:p>
    <w:p>
      <w:pPr>
        <w:pStyle w:val="Heading1"/>
        <w:spacing w:after="200" w:before="400"/>
      </w:pPr>
      <w:r>
        <w:t xml:space="preserve">6. Marketing e Aquisição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cantSplit/>
          <w:tblHeader/>
        </w:trPr>
        <w:tc>
          <w:tcPr>
            <w:tcW w:type="dxa" w:w="374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Canal</w:t>
            </w:r>
          </w:p>
        </w:tc>
        <w:tc>
          <w:tcPr>
            <w:tcW w:type="dxa" w:w="561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Papel</w:t>
            </w:r>
          </w:p>
        </w:tc>
      </w:tr>
      <w:tr>
        <w:trPr>
          <w:cantSplit/>
        </w:trPr>
        <w:tc>
          <w:tcPr>
            <w:tcW w:type="dxa" w:w="374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Indicação (member-gets-member)</w:t>
            </w:r>
          </w:p>
        </w:tc>
        <w:tc>
          <w:tcPr>
            <w:tcW w:type="dxa" w:w="561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Aquisição principal em regime, CAC mais baixo</w:t>
            </w:r>
          </w:p>
        </w:tc>
      </w:tr>
      <w:tr>
        <w:trPr>
          <w:cantSplit/>
        </w:trPr>
        <w:tc>
          <w:tcPr>
            <w:tcW w:type="dxa" w:w="374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Redes sociais (orgânico + pago)</w:t>
            </w:r>
          </w:p>
        </w:tc>
        <w:tc>
          <w:tcPr>
            <w:tcW w:type="dxa" w:w="561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Awareness e conversão topo de funil</w:t>
            </w:r>
          </w:p>
        </w:tc>
      </w:tr>
      <w:tr>
        <w:trPr>
          <w:cantSplit/>
        </w:trPr>
        <w:tc>
          <w:tcPr>
            <w:tcW w:type="dxa" w:w="374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Parcerias locais</w:t>
            </w:r>
          </w:p>
        </w:tc>
        <w:tc>
          <w:tcPr>
            <w:tcW w:type="dxa" w:w="561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Aquisição B2B2C (academias, escolas, coworkings)</w:t>
            </w:r>
          </w:p>
        </w:tc>
      </w:tr>
      <w:tr>
        <w:trPr>
          <w:cantSplit/>
        </w:trPr>
        <w:tc>
          <w:tcPr>
            <w:tcW w:type="dxa" w:w="374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SEO/conteúdo</w:t>
            </w:r>
          </w:p>
        </w:tc>
        <w:tc>
          <w:tcPr>
            <w:tcW w:type="dxa" w:w="561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Aquisição de longo prazo, baixo custo marginal</w:t>
            </w:r>
          </w:p>
        </w:tc>
      </w:tr>
      <w:tr>
        <w:trPr>
          <w:cantSplit/>
        </w:trPr>
        <w:tc>
          <w:tcPr>
            <w:tcW w:type="dxa" w:w="374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Feiras/eventos locais</w:t>
            </w:r>
          </w:p>
        </w:tc>
        <w:tc>
          <w:tcPr>
            <w:tcW w:type="dxa" w:w="561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Aquisição + branding</w:t>
            </w:r>
          </w:p>
        </w:tc>
      </w:tr>
    </w:tbl>
    <w:p>
      <w:pPr>
        <w:spacing w:after="160" w:line="288"/>
      </w:pPr>
      <w:r>
        <w:rPr>
          <w:rFonts w:ascii="Calibri" w:cs="Calibri" w:eastAsia="Calibri" w:hAnsi="Calibri"/>
          <w:sz w:val="22"/>
          <w:szCs w:val="22"/>
        </w:rPr>
        <w:t xml:space="preserve">Retenção é tão ou mais importante que aquisição: qualidade consistente, comunicação de sazonalidade e flexibilidade (pausar em vez de cancelar) são as alavancas centrais.</w:t>
      </w:r>
    </w:p>
    <w:p>
      <w:pPr>
        <w:pStyle w:val="Heading1"/>
        <w:spacing w:after="200" w:before="400"/>
      </w:pPr>
      <w:r>
        <w:t xml:space="preserve">7. Compliance e Regulatório</w:t>
      </w:r>
    </w:p>
    <w:p>
      <w:pPr>
        <w:pStyle w:val="ListParagraph"/>
        <w:numPr>
          <w:ilvl w:val="0"/>
          <w:numId w:val="1"/>
        </w:numPr>
        <w:spacing w:after="90" w:line="276"/>
      </w:pPr>
      <w:r>
        <w:t xml:space="preserve">Certificação orgânica: todo fornecedor precisa de certificação válida (certificadora credenciada ou OPAC), com auditoria periódica.</w:t>
      </w:r>
    </w:p>
    <w:p>
      <w:pPr>
        <w:pStyle w:val="ListParagraph"/>
        <w:numPr>
          <w:ilvl w:val="0"/>
          <w:numId w:val="1"/>
        </w:numPr>
        <w:spacing w:after="90" w:line="276"/>
      </w:pPr>
      <w:r>
        <w:t xml:space="preserve">Vigilância sanitária: licença adequada para o CD, com boas práticas de manipulação documentadas.</w:t>
      </w:r>
    </w:p>
    <w:p>
      <w:pPr>
        <w:pStyle w:val="ListParagraph"/>
        <w:numPr>
          <w:ilvl w:val="0"/>
          <w:numId w:val="1"/>
        </w:numPr>
        <w:spacing w:after="90" w:line="276"/>
      </w:pPr>
      <w:r>
        <w:t xml:space="preserve">Tributação: estrutura adequada para revenda de alimentos in natura, avaliando Simples Nacional e substituição tributária por UF.</w:t>
      </w:r>
    </w:p>
    <w:p>
      <w:pPr>
        <w:pStyle w:val="ListParagraph"/>
        <w:numPr>
          <w:ilvl w:val="0"/>
          <w:numId w:val="1"/>
        </w:numPr>
        <w:spacing w:after="90" w:line="276"/>
      </w:pPr>
      <w:r>
        <w:t xml:space="preserve">LGPD: política de privacidade e segurança de dados nos apps.</w:t>
      </w:r>
    </w:p>
    <w:p>
      <w:pPr>
        <w:pStyle w:val="ListParagraph"/>
        <w:numPr>
          <w:ilvl w:val="0"/>
          <w:numId w:val="1"/>
        </w:numPr>
        <w:spacing w:after="90" w:line="276"/>
      </w:pPr>
      <w:r>
        <w:t xml:space="preserve">CDC: política clara de cancelamento, reembolso e qualidade.</w:t>
      </w:r>
    </w:p>
    <w:p>
      <w:pPr>
        <w:pStyle w:val="Heading1"/>
        <w:spacing w:after="200" w:before="400"/>
      </w:pPr>
      <w:r>
        <w:t xml:space="preserve">8. Estrutura Organizacional (fase inicial)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73"/>
        <w:gridCol w:w="6078"/>
      </w:tblGrid>
      <w:tr>
        <w:trPr>
          <w:cantSplit/>
          <w:tblHeader/>
        </w:trPr>
        <w:tc>
          <w:tcPr>
            <w:tcW w:type="dxa" w:w="3273"/>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Área</w:t>
            </w:r>
          </w:p>
        </w:tc>
        <w:tc>
          <w:tcPr>
            <w:tcW w:type="dxa" w:w="6078"/>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Função</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Operação/CD</w:t>
            </w:r>
          </w:p>
        </w:tc>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Gestor de CD + equipe de separação/embalagem (2–4 pessoas)</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Logística</w:t>
            </w:r>
          </w:p>
        </w:tc>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Motoristas/entregadores (próprios ou parceiros)</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Suprimentos</w:t>
            </w:r>
          </w:p>
        </w:tc>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Relação com fornecedores, compras e qualidade</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Tecnologia</w:t>
            </w:r>
          </w:p>
        </w:tc>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Squad enxuto (terceirizado no início)</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Marketing/CS</w:t>
            </w:r>
          </w:p>
        </w:tc>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Growth + atendimento (WhatsApp, redes sociais)</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Financeiro/Admin</w:t>
            </w:r>
          </w:p>
        </w:tc>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Fundador(a) ou controller part-time</w:t>
            </w:r>
          </w:p>
        </w:tc>
      </w:tr>
    </w:tbl>
    <w:p>
      <w:pPr>
        <w:pStyle w:val="Heading1"/>
        <w:spacing w:after="200" w:before="400"/>
      </w:pPr>
      <w:r>
        <w:t xml:space="preserve">9. Análise SWOT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Forças</w:t>
            </w:r>
          </w:p>
        </w:tc>
        <w:tc>
          <w:tcPr>
            <w:tcW w:type="dxa" w:w="467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Fraquezas</w:t>
            </w:r>
          </w:p>
        </w:tc>
      </w:tr>
      <w:tr>
        <w:trPr>
          <w:cantSplit/>
        </w:trPr>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Relação direta com produtor (diferenciação)</w:t>
            </w:r>
          </w:p>
        </w:tc>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Operação intensiva em logística/perecível</w:t>
            </w:r>
          </w:p>
        </w:tc>
      </w:tr>
      <w:tr>
        <w:trPr>
          <w:cantSplit/>
        </w:trPr>
        <w:tc>
          <w:tcPr>
            <w:tcW w:type="dxa" w:w="467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Modelo recorrente (previsibilidade de receita)</w:t>
            </w:r>
          </w:p>
        </w:tc>
        <w:tc>
          <w:tcPr>
            <w:tcW w:type="dxa" w:w="467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Dependência de poucos fornecedores no início</w:t>
            </w:r>
          </w:p>
        </w:tc>
      </w:tr>
      <w:tr>
        <w:trPr>
          <w:cantSplit/>
        </w:trPr>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Sazonalidade como ativo de marca</w:t>
            </w:r>
          </w:p>
        </w:tc>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Necessidade de capital de giro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Oportunidades</w:t>
            </w:r>
          </w:p>
        </w:tc>
        <w:tc>
          <w:tcPr>
            <w:tcW w:type="dxa" w:w="4675"/>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Ameaças</w:t>
            </w:r>
          </w:p>
        </w:tc>
      </w:tr>
      <w:tr>
        <w:trPr>
          <w:cantSplit/>
        </w:trPr>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Crescimento do consumo consciente</w:t>
            </w:r>
          </w:p>
        </w:tc>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Entrada de grandes players no nicho</w:t>
            </w:r>
          </w:p>
        </w:tc>
      </w:tr>
      <w:tr>
        <w:trPr>
          <w:cantSplit/>
        </w:trPr>
        <w:tc>
          <w:tcPr>
            <w:tcW w:type="dxa" w:w="467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Baixa penetração atual = espaço para crescer</w:t>
            </w:r>
          </w:p>
        </w:tc>
        <w:tc>
          <w:tcPr>
            <w:tcW w:type="dxa" w:w="4675"/>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Sazonalidade climática (quebra de safra)</w:t>
            </w:r>
          </w:p>
        </w:tc>
      </w:tr>
      <w:tr>
        <w:trPr>
          <w:cantSplit/>
        </w:trPr>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Expansão para B2B</w:t>
            </w:r>
          </w:p>
        </w:tc>
        <w:tc>
          <w:tcPr>
            <w:tcW w:type="dxa" w:w="467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Inflação de alimentos pressionando o ticket</w:t>
            </w:r>
          </w:p>
        </w:tc>
      </w:tr>
    </w:tbl>
    <w:p>
      <w:pPr>
        <w:pStyle w:val="Heading1"/>
        <w:spacing w:after="200" w:before="400"/>
      </w:pPr>
      <w:r>
        <w:t xml:space="preserve">10. Riscos e Mitigação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73"/>
        <w:gridCol w:w="1870"/>
        <w:gridCol w:w="4208"/>
      </w:tblGrid>
      <w:tr>
        <w:trPr>
          <w:cantSplit/>
          <w:tblHeader/>
        </w:trPr>
        <w:tc>
          <w:tcPr>
            <w:tcW w:type="dxa" w:w="3273"/>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Risco</w:t>
            </w:r>
          </w:p>
        </w:tc>
        <w:tc>
          <w:tcPr>
            <w:tcW w:type="dxa" w:w="187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Impacto/Prob.</w:t>
            </w:r>
          </w:p>
        </w:tc>
        <w:tc>
          <w:tcPr>
            <w:tcW w:type="dxa" w:w="4208"/>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Mitigação</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Quebra de safra (clima)</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Alto / Média-Alta</w:t>
            </w:r>
          </w:p>
        </w:tc>
        <w:tc>
          <w:tcPr>
            <w:tcW w:type="dxa" w:w="420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Rede diversificada de fornecedores; catálogo flexível</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Churn alto de assinantes</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Alto / Média</w:t>
            </w:r>
          </w:p>
        </w:tc>
        <w:tc>
          <w:tcPr>
            <w:tcW w:type="dxa" w:w="420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Programa de pausa; qualidade consistente; comunicação</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Perecibilidade / cadeia fria</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Médio-Alto / Média</w:t>
            </w:r>
          </w:p>
        </w:tc>
        <w:tc>
          <w:tcPr>
            <w:tcW w:type="dxa" w:w="420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Investimento em CD e frota; checklists de recebimento/saída</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Dependência de poucos fornecedores</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Alto / Média</w:t>
            </w:r>
          </w:p>
        </w:tc>
        <w:tc>
          <w:tcPr>
            <w:tcW w:type="dxa" w:w="420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Diversificação obrigatória desde o piloto</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Capital de giro insuficiente</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Alto / Média</w:t>
            </w:r>
          </w:p>
        </w:tc>
        <w:tc>
          <w:tcPr>
            <w:tcW w:type="dxa" w:w="420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Planejamento de fluxo de caixa desde o dia 1</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Concorrência de grandes players</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Médio / Média-Alta</w:t>
            </w:r>
          </w:p>
        </w:tc>
        <w:tc>
          <w:tcPr>
            <w:tcW w:type="dxa" w:w="420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Diferenciação por curadoria e relação com produtor</w:t>
            </w:r>
          </w:p>
        </w:tc>
      </w:tr>
      <w:tr>
        <w:trPr>
          <w:cantSplit/>
        </w:trPr>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Falha de certificação de um fornecedor</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Alto / Baixa-Média</w:t>
            </w:r>
          </w:p>
        </w:tc>
        <w:tc>
          <w:tcPr>
            <w:tcW w:type="dxa" w:w="420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Auditoria periódica; cláusula contratual</w:t>
            </w:r>
          </w:p>
        </w:tc>
      </w:tr>
      <w:tr>
        <w:trPr>
          <w:cantSplit/>
        </w:trPr>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Complexidade/custo de tecnologia</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Médio / Média</w:t>
            </w:r>
          </w:p>
        </w:tc>
        <w:tc>
          <w:tcPr>
            <w:tcW w:type="dxa" w:w="420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MVP com ferramentas prontas antes de dev. proprietário</w:t>
            </w:r>
          </w:p>
        </w:tc>
      </w:tr>
    </w:tbl>
    <w:p>
      <w:pPr>
        <w:pStyle w:val="Heading1"/>
        <w:spacing w:after="200" w:before="400"/>
      </w:pPr>
      <w:r>
        <w:t xml:space="preserve">11. Plano Financeiro</w:t>
      </w:r>
    </w:p>
    <w:p>
      <w:pPr>
        <w:spacing w:after="160" w:line="288"/>
      </w:pPr>
      <w:r>
        <w:rPr>
          <w:rFonts w:ascii="Calibri" w:cs="Calibri" w:eastAsia="Calibri" w:hAnsi="Calibri"/>
          <w:sz w:val="22"/>
          <w:szCs w:val="22"/>
        </w:rPr>
        <w:t xml:space="preserve">Os valores abaixo são estimativas de referência para dimensionamento inicial. O modelo financeiro completo, com fórmulas editáveis mês a mês, acompanha este documento (Modelo_Financeiro.xlsx).</w:t>
      </w:r>
    </w:p>
    <w:p>
      <w:pPr>
        <w:pStyle w:val="Heading2"/>
        <w:spacing w:after="140" w:before="280"/>
      </w:pPr>
      <w:r>
        <w:t xml:space="preserve">11.1 Investimento inicial (pré-operacional)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78"/>
        <w:gridCol w:w="3273"/>
      </w:tblGrid>
      <w:tr>
        <w:trPr>
          <w:cantSplit/>
          <w:tblHeader/>
        </w:trPr>
        <w:tc>
          <w:tcPr>
            <w:tcW w:type="dxa" w:w="6078"/>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Item</w:t>
            </w:r>
          </w:p>
        </w:tc>
        <w:tc>
          <w:tcPr>
            <w:tcW w:type="dxa" w:w="3273"/>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Estimativa (R$)</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Estruturação do CD</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60.000 – 120.000</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Veículo(s) refrigerado(s)</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40.000 – 90.000</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Site + loja online</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15.000 – 35.000</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Apps fornecedor + cliente (MVP)</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40.000 – 90.000</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Marca, identidade, conteúdo inicial</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15.000 – 30.000</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Licenças, certificações, jurídico</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10.000 – 20.000</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Capital de giro (2–3 ciclos)</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60.000 – 120.000</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Reserva de contingência (~15%)</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35.000 – 75.000</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Total estimado</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R$ 275.000 – 580.000</w:t>
            </w:r>
          </w:p>
        </w:tc>
      </w:tr>
    </w:tbl>
    <w:p>
      <w:pPr>
        <w:pStyle w:val="Heading2"/>
        <w:spacing w:after="140" w:before="280"/>
      </w:pPr>
      <w:r>
        <w:t xml:space="preserve">11.2 Estrutura de custo recorrente (% da receita)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78"/>
        <w:gridCol w:w="3273"/>
      </w:tblGrid>
      <w:tr>
        <w:trPr>
          <w:cantSplit/>
          <w:tblHeader/>
        </w:trPr>
        <w:tc>
          <w:tcPr>
            <w:tcW w:type="dxa" w:w="6078"/>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Item</w:t>
            </w:r>
          </w:p>
        </w:tc>
        <w:tc>
          <w:tcPr>
            <w:tcW w:type="dxa" w:w="3273"/>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 da receita</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Custo de produto (fornecedores)</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40–48%</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Operação do CD</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12–16%</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Logística / última milha</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10–15%</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Marketing e aquisição</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8–15%</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Tecnologia</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3–6%</w:t>
            </w:r>
          </w:p>
        </w:tc>
      </w:tr>
      <w:tr>
        <w:trPr>
          <w:cantSplit/>
        </w:trPr>
        <w:tc>
          <w:tcPr>
            <w:tcW w:type="dxa" w:w="6078"/>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Administrativo/geral</w:t>
            </w:r>
          </w:p>
        </w:tc>
        <w:tc>
          <w:tcPr>
            <w:tcW w:type="dxa" w:w="3273"/>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5–8%</w:t>
            </w:r>
          </w:p>
        </w:tc>
      </w:tr>
      <w:tr>
        <w:trPr>
          <w:cantSplit/>
        </w:trPr>
        <w:tc>
          <w:tcPr>
            <w:tcW w:type="dxa" w:w="607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Margem operacional alvo</w:t>
            </w:r>
          </w:p>
        </w:tc>
        <w:tc>
          <w:tcPr>
            <w:tcW w:type="dxa" w:w="3273"/>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10–18%</w:t>
            </w:r>
          </w:p>
        </w:tc>
      </w:tr>
    </w:tbl>
    <w:p>
      <w:pPr>
        <w:pStyle w:val="Heading2"/>
        <w:spacing w:after="140" w:before="280"/>
      </w:pPr>
      <w:r>
        <w:t xml:space="preserve">11.3 Unit economics (cenário-base do modelo)</w:t>
      </w:r>
    </w:p>
    <w:p>
      <w:pPr>
        <w:pStyle w:val="ListParagraph"/>
        <w:numPr>
          <w:ilvl w:val="0"/>
          <w:numId w:val="1"/>
        </w:numPr>
        <w:spacing w:after="90" w:line="276"/>
      </w:pPr>
      <w:r>
        <w:t xml:space="preserve">Ticket médio ponderado: ~R$ 540/mês por assinante ativo.</w:t>
      </w:r>
    </w:p>
    <w:p>
      <w:pPr>
        <w:pStyle w:val="ListParagraph"/>
        <w:numPr>
          <w:ilvl w:val="0"/>
          <w:numId w:val="1"/>
        </w:numPr>
        <w:spacing w:after="90" w:line="276"/>
      </w:pPr>
      <w:r>
        <w:t xml:space="preserve">CAC médio: R$ 140 por novo assinante.</w:t>
      </w:r>
    </w:p>
    <w:p>
      <w:pPr>
        <w:pStyle w:val="ListParagraph"/>
        <w:numPr>
          <w:ilvl w:val="0"/>
          <w:numId w:val="1"/>
        </w:numPr>
        <w:spacing w:after="90" w:line="276"/>
      </w:pPr>
      <w:r>
        <w:t xml:space="preserve">LTV/CAC: ~12,9x — payback do CAC em menos de 1 mês (cenário-base, a validar com dados reais).</w:t>
      </w:r>
    </w:p>
    <w:p>
      <w:pPr>
        <w:pStyle w:val="ListParagraph"/>
        <w:numPr>
          <w:ilvl w:val="0"/>
          <w:numId w:val="1"/>
        </w:numPr>
        <w:spacing w:after="90" w:line="276"/>
      </w:pPr>
      <w:r>
        <w:t xml:space="preserve">Churn mensal saudável: abaixo de 8–10%; acima de 15% inviabiliza o modelo.</w:t>
      </w:r>
    </w:p>
    <w:p>
      <w:pPr>
        <w:pStyle w:val="ListParagraph"/>
        <w:numPr>
          <w:ilvl w:val="0"/>
          <w:numId w:val="1"/>
        </w:numPr>
        <w:spacing w:after="90" w:line="276"/>
      </w:pPr>
      <w:r>
        <w:t xml:space="preserve">Ponto de equilíbrio: ~309 assinantes ativos (cobrindo custo fixo estimado de R$50 mil/mês do CD + equipe base).</w:t>
      </w:r>
    </w:p>
    <w:p>
      <w:pPr>
        <w:pStyle w:val="Heading2"/>
        <w:spacing w:after="140" w:before="280"/>
      </w:pPr>
      <w:r>
        <w:t xml:space="preserve">11.4 Recomendação de captação</w:t>
      </w:r>
    </w:p>
    <w:p>
      <w:pPr>
        <w:spacing w:after="160" w:line="288"/>
      </w:pPr>
      <w:r>
        <w:rPr>
          <w:rFonts w:ascii="Calibri" w:cs="Calibri" w:eastAsia="Calibri" w:hAnsi="Calibri"/>
          <w:sz w:val="22"/>
          <w:szCs w:val="22"/>
        </w:rPr>
        <w:t xml:space="preserve">Capital semente/família e amigos para validar em 1 praça por 3–6 meses → investidor-anjo ou fundo pré-seed para escalar tecnologia e abrir a 2ª praça, usando os dados reais de churn/CAC/LTV do piloto como prova.</w:t>
      </w:r>
    </w:p>
    <w:p>
      <w:pPr>
        <w:pStyle w:val="Heading1"/>
        <w:spacing w:after="200" w:before="400"/>
      </w:pPr>
      <w:r>
        <w:t xml:space="preserve">12. Escalabilidade e Modelo de Expansão</w:t>
      </w:r>
    </w:p>
    <w:p>
      <w:pPr>
        <w:spacing w:after="160" w:line="288"/>
      </w:pPr>
      <w:r>
        <w:rPr>
          <w:rFonts w:ascii="Calibri" w:cs="Calibri" w:eastAsia="Calibri" w:hAnsi="Calibri"/>
          <w:sz w:val="22"/>
          <w:szCs w:val="22"/>
        </w:rPr>
        <w:t xml:space="preserve">Este não é um negócio de software puro — é um negócio físico e operacional (CD, cadeia fria, frota, produto perecível). Isso não impede a escala, mas define qual tipo de escala é realista.</w:t>
      </w:r>
    </w:p>
    <w:p>
      <w:pPr>
        <w:pStyle w:val="Heading2"/>
        <w:spacing w:after="140" w:before="280"/>
      </w:pPr>
      <w:r>
        <w:t xml:space="preserve">12.1 O que escala "de graça"</w:t>
      </w:r>
    </w:p>
    <w:p>
      <w:pPr>
        <w:pStyle w:val="ListParagraph"/>
        <w:numPr>
          <w:ilvl w:val="0"/>
          <w:numId w:val="1"/>
        </w:numPr>
        <w:spacing w:after="90" w:line="276"/>
      </w:pPr>
      <w:r>
        <w:t xml:space="preserve">Site, apps de cliente/fornecedor, marca, conteúdo, playbook de marketing, backend de gestão.</w:t>
      </w:r>
    </w:p>
    <w:p>
      <w:pPr>
        <w:pStyle w:val="Heading2"/>
        <w:spacing w:after="140" w:before="280"/>
      </w:pPr>
      <w:r>
        <w:t xml:space="preserve">12.2 O que precisa ser recriado a cada praça</w:t>
      </w:r>
    </w:p>
    <w:p>
      <w:pPr>
        <w:pStyle w:val="ListParagraph"/>
        <w:numPr>
          <w:ilvl w:val="0"/>
          <w:numId w:val="1"/>
        </w:numPr>
        <w:spacing w:after="90" w:line="276"/>
      </w:pPr>
      <w:r>
        <w:t xml:space="preserve">CD físico e cadeia fria, frota/parceria de última milha, rede de fornecedores locais, equipe operacional.</w:t>
      </w:r>
    </w:p>
    <w:p>
      <w:pPr>
        <w:pStyle w:val="Heading2"/>
        <w:spacing w:after="140" w:before="280"/>
      </w:pPr>
      <w:r>
        <w:t xml:space="preserve">12.3 Modelo recomendado: "CD-in-a-box" replicável</w:t>
      </w:r>
    </w:p>
    <w:p>
      <w:pPr>
        <w:pStyle w:val="ListParagraph"/>
        <w:numPr>
          <w:ilvl w:val="0"/>
          <w:numId w:val="1"/>
        </w:numPr>
        <w:spacing w:after="90" w:line="276"/>
      </w:pPr>
      <w:r>
        <w:t xml:space="preserve">1. Provar a unidade econômica na praça-piloto (churn &lt;10%, margem positiva por 2–3 trimestres).</w:t>
      </w:r>
    </w:p>
    <w:p>
      <w:pPr>
        <w:pStyle w:val="ListParagraph"/>
        <w:numPr>
          <w:ilvl w:val="0"/>
          <w:numId w:val="1"/>
        </w:numPr>
        <w:spacing w:after="90" w:line="276"/>
      </w:pPr>
      <w:r>
        <w:t xml:space="preserve">2. Documentar o playbook operacional como manual replicável.</w:t>
      </w:r>
    </w:p>
    <w:p>
      <w:pPr>
        <w:pStyle w:val="ListParagraph"/>
        <w:numPr>
          <w:ilvl w:val="0"/>
          <w:numId w:val="1"/>
        </w:numPr>
        <w:spacing w:after="90" w:line="276"/>
      </w:pPr>
      <w:r>
        <w:t xml:space="preserve">3. Abrir a 2ª praça reaproveitando 80%+ da tecnologia.</w:t>
      </w:r>
    </w:p>
    <w:p>
      <w:pPr>
        <w:pStyle w:val="ListParagraph"/>
        <w:numPr>
          <w:ilvl w:val="0"/>
          <w:numId w:val="1"/>
        </w:numPr>
        <w:spacing w:after="90" w:line="276"/>
      </w:pPr>
      <w:r>
        <w:t xml:space="preserve">4. Só então acelerar o ritmo de abertura (uma nova capital a cada 2–3 meses).</w:t>
      </w:r>
    </w:p>
    <w:p>
      <w:pPr>
        <w:spacing w:after="160" w:line="288"/>
      </w:pPr>
      <w:r>
        <w:rPr>
          <w:rFonts w:ascii="Calibri" w:cs="Calibri" w:eastAsia="Calibri" w:hAnsi="Calibri"/>
          <w:sz w:val="22"/>
          <w:szCs w:val="22"/>
        </w:rPr>
        <w:t xml:space="preserve">Esse modelo é conhecido como "roll-up regional": cada praça precisa ser lucrativa por si só — a escala vem de repetir uma unidade que já funciona, não de subsidiar operação deficitária indefinidamente.</w:t>
      </w:r>
    </w:p>
    <w:p>
      <w:pPr>
        <w:pStyle w:val="Heading2"/>
        <w:spacing w:after="140" w:before="280"/>
      </w:pPr>
      <w:r>
        <w:t xml:space="preserve">12.4 Alavancas de escala dentro de cada praça</w:t>
      </w:r>
    </w:p>
    <w:p>
      <w:pPr>
        <w:pStyle w:val="ListParagraph"/>
        <w:numPr>
          <w:ilvl w:val="0"/>
          <w:numId w:val="1"/>
        </w:numPr>
        <w:spacing w:after="90" w:line="276"/>
      </w:pPr>
      <w:r>
        <w:t xml:space="preserve">Aumento de densidade de entrega (menor custo de última milha por pedido).</w:t>
      </w:r>
    </w:p>
    <w:p>
      <w:pPr>
        <w:pStyle w:val="ListParagraph"/>
        <w:numPr>
          <w:ilvl w:val="0"/>
          <w:numId w:val="1"/>
        </w:numPr>
        <w:spacing w:after="90" w:line="276"/>
      </w:pPr>
      <w:r>
        <w:t xml:space="preserve">Ampliação de sortimento (add-ons) para aumentar ticket médio.</w:t>
      </w:r>
    </w:p>
    <w:p>
      <w:pPr>
        <w:pStyle w:val="ListParagraph"/>
        <w:numPr>
          <w:ilvl w:val="0"/>
          <w:numId w:val="1"/>
        </w:numPr>
        <w:spacing w:after="90" w:line="276"/>
      </w:pPr>
      <w:r>
        <w:t xml:space="preserve">B2B (fruteira de escritório) como segundo motor de crescimento no mesmo CD.</w:t>
      </w:r>
    </w:p>
    <w:p>
      <w:pPr>
        <w:pStyle w:val="Heading1"/>
        <w:spacing w:after="200" w:before="400"/>
      </w:pPr>
      <w:r>
        <w:t xml:space="preserve">13. Roadmap de Implementação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5610"/>
      </w:tblGrid>
      <w:tr>
        <w:trPr>
          <w:cantSplit/>
          <w:tblHeader/>
        </w:trPr>
        <w:tc>
          <w:tcPr>
            <w:tcW w:type="dxa" w:w="187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Fase</w:t>
            </w:r>
          </w:p>
        </w:tc>
        <w:tc>
          <w:tcPr>
            <w:tcW w:type="dxa" w:w="187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Duração</w:t>
            </w:r>
          </w:p>
        </w:tc>
        <w:tc>
          <w:tcPr>
            <w:tcW w:type="dxa" w:w="5610"/>
            <w:shd w:fill="2C5F2D"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Objetivo</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 — Validação</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1–2 meses</w:t>
            </w:r>
          </w:p>
        </w:tc>
        <w:tc>
          <w:tcPr>
            <w:tcW w:type="dxa" w:w="561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Validar demanda e operação manual (~50 clientes piloto)</w:t>
            </w:r>
          </w:p>
        </w:tc>
      </w:tr>
      <w:tr>
        <w:trPr>
          <w:cantSplit/>
        </w:trPr>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 — MVP tecnológico</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2–3 meses</w:t>
            </w:r>
          </w:p>
        </w:tc>
        <w:tc>
          <w:tcPr>
            <w:tcW w:type="dxa" w:w="561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Site + checkout, portal de fornecedor, pagamento recorrente/PIX</w:t>
            </w:r>
          </w:p>
        </w:tc>
      </w:tr>
      <w:tr>
        <w:trPr>
          <w:cantSplit/>
        </w:trPr>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 — Escala regional</w:t>
            </w:r>
          </w:p>
        </w:tc>
        <w:tc>
          <w:tcPr>
            <w:tcW w:type="dxa" w:w="187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3–6 meses</w:t>
            </w:r>
          </w:p>
        </w:tc>
        <w:tc>
          <w:tcPr>
            <w:tcW w:type="dxa" w:w="561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App completo, frota otimizada, meta de 500–1.000 assinantes</w:t>
            </w:r>
          </w:p>
        </w:tc>
      </w:tr>
      <w:tr>
        <w:trPr>
          <w:cantSplit/>
        </w:trPr>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 — Expansão</w:t>
            </w:r>
          </w:p>
        </w:tc>
        <w:tc>
          <w:tcPr>
            <w:tcW w:type="dxa" w:w="187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6–12 meses</w:t>
            </w:r>
          </w:p>
        </w:tc>
        <w:tc>
          <w:tcPr>
            <w:tcW w:type="dxa" w:w="5610"/>
            <w:shd w:fill="F2F1E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Replicar o modelo operacional em novas praças</w:t>
            </w:r>
          </w:p>
        </w:tc>
      </w:tr>
    </w:tbl>
    <w:p>
      <w:pPr>
        <w:pStyle w:val="Heading1"/>
        <w:spacing w:after="200" w:before="400"/>
      </w:pPr>
      <w:r>
        <w:t xml:space="preserve">14. Indicadores-Chave (KPIs)</w:t>
      </w:r>
    </w:p>
    <w:p>
      <w:pPr>
        <w:pStyle w:val="ListParagraph"/>
        <w:numPr>
          <w:ilvl w:val="0"/>
          <w:numId w:val="1"/>
        </w:numPr>
        <w:spacing w:after="90" w:line="276"/>
      </w:pPr>
      <w:r>
        <w:t xml:space="preserve">Crescimento: novos assinantes/mês, taxa de conversão.</w:t>
      </w:r>
    </w:p>
    <w:p>
      <w:pPr>
        <w:pStyle w:val="ListParagraph"/>
        <w:numPr>
          <w:ilvl w:val="0"/>
          <w:numId w:val="1"/>
        </w:numPr>
        <w:spacing w:after="90" w:line="276"/>
      </w:pPr>
      <w:r>
        <w:t xml:space="preserve">Retenção: churn mensal, taxa de pausa vs. cancelamento, NPS.</w:t>
      </w:r>
    </w:p>
    <w:p>
      <w:pPr>
        <w:pStyle w:val="ListParagraph"/>
        <w:numPr>
          <w:ilvl w:val="0"/>
          <w:numId w:val="1"/>
        </w:numPr>
        <w:spacing w:after="90" w:line="276"/>
      </w:pPr>
      <w:r>
        <w:t xml:space="preserve">Operação: % de perda/quebra, acurácia de separação, pontualidade.</w:t>
      </w:r>
    </w:p>
    <w:p>
      <w:pPr>
        <w:pStyle w:val="ListParagraph"/>
        <w:numPr>
          <w:ilvl w:val="0"/>
          <w:numId w:val="1"/>
        </w:numPr>
        <w:spacing w:after="90" w:line="276"/>
      </w:pPr>
      <w:r>
        <w:t xml:space="preserve">Fornecedor: % de disponibilidade confirmada, lead time de pagamento, diversidade de fornecedores.</w:t>
      </w:r>
    </w:p>
    <w:p>
      <w:pPr>
        <w:pStyle w:val="ListParagraph"/>
        <w:numPr>
          <w:ilvl w:val="0"/>
          <w:numId w:val="1"/>
        </w:numPr>
        <w:spacing w:after="90" w:line="276"/>
      </w:pPr>
      <w:r>
        <w:t xml:space="preserve">Financeiro: CAC, LTV, ticket médio, margem de contribuição, fluxo de caixa semanal.</w:t>
      </w:r>
    </w:p>
    <w:p>
      <w:pPr>
        <w:pStyle w:val="Heading1"/>
        <w:spacing w:after="200" w:before="400"/>
      </w:pPr>
      <w:r>
        <w:t xml:space="preserve">15. Veredito de Viabilidade e Escalabilidade</w:t>
      </w:r>
    </w:p>
    <w:p>
      <w:pPr>
        <w:pStyle w:val="Heading2"/>
        <w:spacing w:after="140" w:before="280"/>
      </w:pPr>
      <w:r>
        <w:t xml:space="preserve">Viável — sim, com ressalvas</w:t>
      </w:r>
    </w:p>
    <w:p>
      <w:pPr>
        <w:spacing w:after="160" w:line="288"/>
      </w:pPr>
      <w:r>
        <w:rPr>
          <w:rFonts w:ascii="Calibri" w:cs="Calibri" w:eastAsia="Calibri" w:hAnsi="Calibri"/>
          <w:sz w:val="22"/>
          <w:szCs w:val="22"/>
        </w:rPr>
        <w:t xml:space="preserve">A demanda existe de forma observável: pelo menos seis operações já cobram de brasileiros por este exato modelo, o mercado cresce ~16% ao ano em valor, e a penetração de consumo quase dobrou desde 2017. Com disciplina operacional, a matemática unitária é positiva (seção 11.3) — um negócio regional saudável e defensável.</w:t>
      </w:r>
    </w:p>
    <w:p>
      <w:pPr>
        <w:pStyle w:val="Heading2"/>
        <w:spacing w:after="140" w:before="280"/>
      </w:pPr>
      <w:r>
        <w:t xml:space="preserve">Escalável — sim, mas não no sentido "software"</w:t>
      </w:r>
    </w:p>
    <w:p>
      <w:pPr>
        <w:spacing w:after="160" w:line="288"/>
      </w:pPr>
      <w:r>
        <w:rPr>
          <w:rFonts w:ascii="Calibri" w:cs="Calibri" w:eastAsia="Calibri" w:hAnsi="Calibri"/>
          <w:sz w:val="22"/>
          <w:szCs w:val="22"/>
        </w:rPr>
        <w:t xml:space="preserve">Cada praça nova exige recriar CD, frota, cadeia fria e rede de fornecedores locais — ativos físicos, não digitais. Categorias parecidas no mundo (assinatura de meal-kit/hortifruti) têm histórico de margens finas e dificuldade real de escalar rápido mantendo qualidade. Dentro desse limite físico, o modelo é escalável de forma disciplinada, replicando um playbook operacional provado praça a praça.</w:t>
      </w:r>
    </w:p>
    <w:p>
      <w:pPr>
        <w:pStyle w:val="Heading2"/>
        <w:spacing w:after="140" w:before="280"/>
      </w:pPr>
      <w:r>
        <w:t xml:space="preserve">Condição para a viabilidade se sustentar</w:t>
      </w:r>
    </w:p>
    <w:p>
      <w:pPr>
        <w:spacing w:after="160" w:line="288"/>
      </w:pPr>
      <w:r>
        <w:rPr>
          <w:rFonts w:ascii="Calibri" w:cs="Calibri" w:eastAsia="Calibri" w:hAnsi="Calibri"/>
          <w:sz w:val="22"/>
          <w:szCs w:val="22"/>
        </w:rPr>
        <w:t xml:space="preserve">A variável decisiva não é aquisição — é retenção. Acima de ~15% de churn mensal, o CAC nunca se paga. Abaixo de ~10%, o modelo se sustenta e a expansão praça a praça é genuinamente executável.</w:t>
      </w:r>
    </w:p>
    <w:p>
      <w:pPr>
        <w:pStyle w:val="Heading2"/>
        <w:spacing w:after="140" w:before="280"/>
      </w:pPr>
      <w:r>
        <w:t xml:space="preserve">Recomendação final</w:t>
      </w:r>
    </w:p>
    <w:p>
      <w:pPr>
        <w:spacing w:after="160" w:line="288"/>
      </w:pPr>
      <w:r>
        <w:rPr>
          <w:rFonts w:ascii="Calibri" w:cs="Calibri" w:eastAsia="Calibri" w:hAnsi="Calibri"/>
          <w:sz w:val="22"/>
          <w:szCs w:val="22"/>
        </w:rPr>
        <w:t xml:space="preserve">Prosseguir — mas em modo de validação, não de expansão imediata. Rodar a Fase 0 (validação manual, seção 13) antes de investimento pesado em tecnologia ou CD permanente. Se o piloto sustentar churn saudável e margem positiva por 2–3 trimestres, a expansão praça a praça deixa de ser uma aposta para virar execução de um modelo validado.</w:t>
      </w:r>
    </w:p>
    <w:p>
      <w:pPr>
        <w:pStyle w:val="Heading1"/>
        <w:spacing w:after="200" w:before="400"/>
      </w:pPr>
      <w:r>
        <w:t xml:space="preserve">16. Próximos Passos Recomendados</w:t>
      </w:r>
    </w:p>
    <w:p>
      <w:pPr>
        <w:pStyle w:val="ListParagraph"/>
        <w:numPr>
          <w:ilvl w:val="0"/>
          <w:numId w:val="1"/>
        </w:numPr>
        <w:spacing w:after="90" w:line="276"/>
      </w:pPr>
      <w:r>
        <w:t xml:space="preserve">1. Rodar a Fase 0 (validação manual) com 3–5 fornecedores e ~50 clientes piloto.</w:t>
      </w:r>
    </w:p>
    <w:p>
      <w:pPr>
        <w:pStyle w:val="ListParagraph"/>
        <w:numPr>
          <w:ilvl w:val="0"/>
          <w:numId w:val="1"/>
        </w:numPr>
        <w:spacing w:after="90" w:line="276"/>
      </w:pPr>
      <w:r>
        <w:t xml:space="preserve">2. Construir um modelo financeiro detalhado mês a mês a partir dos números reais do piloto.</w:t>
      </w:r>
    </w:p>
    <w:p>
      <w:pPr>
        <w:pStyle w:val="ListParagraph"/>
        <w:numPr>
          <w:ilvl w:val="0"/>
          <w:numId w:val="1"/>
        </w:numPr>
        <w:spacing w:after="90" w:line="276"/>
      </w:pPr>
      <w:r>
        <w:t xml:space="preserve">3. Validar Curitiba como praça-piloto, com o levantamento fino de fornecedores em 100km (seção 4.1.1).</w:t>
      </w:r>
    </w:p>
    <w:p>
      <w:pPr>
        <w:pStyle w:val="ListParagraph"/>
        <w:numPr>
          <w:ilvl w:val="0"/>
          <w:numId w:val="1"/>
        </w:numPr>
        <w:spacing w:after="90" w:line="276"/>
      </w:pPr>
      <w:r>
        <w:t xml:space="preserve">4. Desenhar o MVP tecnológico enxuto, evitando desenvolvimento proprietário caro antes de validar retenção.</w:t>
      </w:r>
    </w:p>
    <w:p>
      <w:pPr>
        <w:pStyle w:val="ListParagraph"/>
        <w:numPr>
          <w:ilvl w:val="0"/>
          <w:numId w:val="1"/>
        </w:numPr>
        <w:spacing w:after="90" w:line="276"/>
      </w:pPr>
      <w:r>
        <w:t xml:space="preserve">5. Formalizar contratos-padrão com fornecedores.</w:t>
      </w:r>
    </w:p>
    <w:p>
      <w:pPr>
        <w:spacing w:before="400"/>
      </w:pPr>
      <w:r>
        <w:rPr>
          <w:rFonts w:ascii="Calibri" w:cs="Calibri" w:eastAsia="Calibri" w:hAnsi="Calibri"/>
          <w:i/>
          <w:iCs/>
          <w:color w:val="5B6B5E"/>
          <w:sz w:val="20"/>
          <w:szCs w:val="20"/>
        </w:rPr>
        <w:t xml:space="preserve">Documento gerado como ponto de partida estratégico. Recomenda-se validação de premissas de mercado e financeiras com dados primários antes de decisões de investimento.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5E"/>
        <w:sz w:val="16"/>
        <w:szCs w:val="16"/>
      </w:rPr>
      <w:t xml:space="preserve">Clube.org — Plano de Negócios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1F3D24"/>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2C5F2D"/>
      <w:sz w:val="26"/>
      <w:szCs w:val="26"/>
    </w:rPr>
  </w:style>
  <w:style w:type="paragraph" w:styleId="Heading3">
    <w:name w:val="Heading 3"/>
    <w:basedOn w:val="Normal"/>
    <w:next w:val="Normal"/>
    <w:qFormat/>
    <w:pPr>
      <w:spacing w:after="100" w:before="200"/>
      <w:outlineLvl w:val="2"/>
    </w:pPr>
    <w:rPr>
      <w:rFonts w:ascii="Cambria" w:cs="Cambria" w:eastAsia="Cambria" w:hAnsi="Cambria"/>
      <w:b/>
      <w:bCs/>
      <w:color w:val="C97A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2026-08-06T05:27:29.491Z</dcterms:created>
  <dcterms:modified xsi:type="dcterms:W3CDTF">2026-08-06T05:27:29.492Z</dcterms:modified>
</cp:coreProperties>
</file>

<file path=docProps/custom.xml><?xml version="1.0" encoding="utf-8"?>
<Properties xmlns="http://schemas.openxmlformats.org/officeDocument/2006/custom-properties" xmlns:vt="http://schemas.openxmlformats.org/officeDocument/2006/docPropsVTypes"/>
</file>