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003 - Typography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uma linguagem tipográfica consistente para Humanati, MoniHook, VANE e WIC, garantindo legibilidade, identidade e escalabilidade em interfaces, campanhas e documentos.</w:t>
      </w:r>
    </w:p>
    <w:p>
      <w:pPr>
        <w:pStyle w:val="Heading2"/>
      </w:pPr>
      <w:r>
        <w:t>Famílias Tipográficas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Família</w:t>
            </w:r>
          </w:p>
        </w:tc>
        <w:tc>
          <w:tcPr>
            <w:tcW w:type="dxa" w:w="2160"/>
          </w:tcPr>
          <w:p>
            <w:r>
              <w:t>Uso</w:t>
            </w:r>
          </w:p>
        </w:tc>
        <w:tc>
          <w:tcPr>
            <w:tcW w:type="dxa" w:w="2160"/>
          </w:tcPr>
          <w:p>
            <w:r>
              <w:t>Peso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Sora</w:t>
            </w:r>
          </w:p>
        </w:tc>
        <w:tc>
          <w:tcPr>
            <w:tcW w:type="dxa" w:w="2160"/>
          </w:tcPr>
          <w:p>
            <w:r>
              <w:t>Branding, Landing Pages, Marketing</w:t>
            </w:r>
          </w:p>
        </w:tc>
        <w:tc>
          <w:tcPr>
            <w:tcW w:type="dxa" w:w="2160"/>
          </w:tcPr>
          <w:p>
            <w:r>
              <w:t>600–800</w:t>
            </w:r>
          </w:p>
        </w:tc>
        <w:tc>
          <w:tcPr>
            <w:tcW w:type="dxa" w:w="2160"/>
          </w:tcPr>
          <w:p>
            <w:r>
              <w:t>Fonte institucional</w:t>
            </w:r>
          </w:p>
        </w:tc>
      </w:tr>
      <w:tr>
        <w:tc>
          <w:tcPr>
            <w:tcW w:type="dxa" w:w="2160"/>
          </w:tcPr>
          <w:p>
            <w:r>
              <w:t>Inter</w:t>
            </w:r>
          </w:p>
        </w:tc>
        <w:tc>
          <w:tcPr>
            <w:tcW w:type="dxa" w:w="2160"/>
          </w:tcPr>
          <w:p>
            <w:r>
              <w:t>Interfaces, Dashboards, Documentos</w:t>
            </w:r>
          </w:p>
        </w:tc>
        <w:tc>
          <w:tcPr>
            <w:tcW w:type="dxa" w:w="2160"/>
          </w:tcPr>
          <w:p>
            <w:r>
              <w:t>400–700</w:t>
            </w:r>
          </w:p>
        </w:tc>
        <w:tc>
          <w:tcPr>
            <w:tcW w:type="dxa" w:w="2160"/>
          </w:tcPr>
          <w:p>
            <w:r>
              <w:t>Fonte padrão do ecossistema</w:t>
            </w:r>
          </w:p>
        </w:tc>
      </w:tr>
      <w:tr>
        <w:tc>
          <w:tcPr>
            <w:tcW w:type="dxa" w:w="2160"/>
          </w:tcPr>
          <w:p>
            <w:r>
              <w:t>JetBrains Mono</w:t>
            </w:r>
          </w:p>
        </w:tc>
        <w:tc>
          <w:tcPr>
            <w:tcW w:type="dxa" w:w="2160"/>
          </w:tcPr>
          <w:p>
            <w:r>
              <w:t>Código, APIs, Logs</w:t>
            </w:r>
          </w:p>
        </w:tc>
        <w:tc>
          <w:tcPr>
            <w:tcW w:type="dxa" w:w="2160"/>
          </w:tcPr>
          <w:p>
            <w:r>
              <w:t>400–600</w:t>
            </w:r>
          </w:p>
        </w:tc>
        <w:tc>
          <w:tcPr>
            <w:tcW w:type="dxa" w:w="2160"/>
          </w:tcPr>
          <w:p>
            <w:r>
              <w:t>Conteúdo técnico</w:t>
            </w:r>
          </w:p>
        </w:tc>
      </w:tr>
    </w:tbl>
    <w:p>
      <w:pPr>
        <w:pStyle w:val="Heading2"/>
      </w:pPr>
      <w:r>
        <w:t>Escala Tipográfica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Tamanho</w:t>
            </w:r>
          </w:p>
        </w:tc>
        <w:tc>
          <w:tcPr>
            <w:tcW w:type="dxa" w:w="2880"/>
          </w:tcPr>
          <w:p>
            <w:r>
              <w:t>Peso</w:t>
            </w:r>
          </w:p>
        </w:tc>
      </w:tr>
      <w:tr>
        <w:tc>
          <w:tcPr>
            <w:tcW w:type="dxa" w:w="2880"/>
          </w:tcPr>
          <w:p>
            <w:r>
              <w:t>Display XL</w:t>
            </w:r>
          </w:p>
        </w:tc>
        <w:tc>
          <w:tcPr>
            <w:tcW w:type="dxa" w:w="2880"/>
          </w:tcPr>
          <w:p>
            <w:r>
              <w:t>64 px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Display L</w:t>
            </w:r>
          </w:p>
        </w:tc>
        <w:tc>
          <w:tcPr>
            <w:tcW w:type="dxa" w:w="2880"/>
          </w:tcPr>
          <w:p>
            <w:r>
              <w:t>48 px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40 px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32 px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24 px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20 px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16 px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Legenda</w:t>
            </w:r>
          </w:p>
        </w:tc>
        <w:tc>
          <w:tcPr>
            <w:tcW w:type="dxa" w:w="2880"/>
          </w:tcPr>
          <w:p>
            <w:r>
              <w:t>14 px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Micro</w:t>
            </w:r>
          </w:p>
        </w:tc>
        <w:tc>
          <w:tcPr>
            <w:tcW w:type="dxa" w:w="2880"/>
          </w:tcPr>
          <w:p>
            <w:r>
              <w:t>12 px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</w:tbl>
    <w:p>
      <w:pPr>
        <w:pStyle w:val="Heading2"/>
      </w:pPr>
      <w:r>
        <w:t>Regras de Uso</w:t>
      </w:r>
    </w:p>
    <w:p>
      <w:r>
        <w:t>• Humanati: títulos institucionais em Sora.</w:t>
        <w:br/>
        <w:t>• MoniHook: comunicação técnica e operacional.</w:t>
        <w:br/>
        <w:t>• VANE: linguagem executiva e estratégica.</w:t>
        <w:br/>
        <w:t>• WIC: comunicação clara e humana.</w:t>
        <w:br/>
        <w:t>• Evitar mais de duas famílias tipográficas na mesma peça.</w:t>
      </w:r>
    </w:p>
    <w:p>
      <w:pPr>
        <w:pStyle w:val="Heading2"/>
      </w:pPr>
      <w:r>
        <w:t>Espaçamento Vertical</w:t>
      </w:r>
    </w:p>
    <w:p>
      <w:r>
        <w:t>Grid de 8 pt.</w:t>
        <w:br/>
        <w:t>Entre H1 e texto: 24 px.</w:t>
        <w:br/>
        <w:t>Entre seções: 48 px.</w:t>
        <w:br/>
        <w:t>Entre cards: 24 px.</w:t>
      </w:r>
    </w:p>
    <w:p>
      <w:pPr>
        <w:pStyle w:val="Heading2"/>
      </w:pPr>
      <w:r>
        <w:t>Próxima Entrega</w:t>
      </w:r>
    </w:p>
    <w:p>
      <w:r>
        <w:t>HDS 004 – Logo System: grids construtivos, áreas de proteção, assinaturas, versões positivas, negativas, monocromáticas e responsivas.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