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005 - Graphic Assets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os elementos gráficos reutilizáveis que compõem a identidade visual do ecossistema Humanati.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Backgrounds</w:t>
            </w:r>
          </w:p>
        </w:tc>
        <w:tc>
          <w:tcPr>
            <w:tcW w:type="dxa" w:w="4320"/>
          </w:tcPr>
          <w:p>
            <w:r>
              <w:t>Dark Grid, Aurora, Mesh Gradient, Blueprint, Carbon Texture, Glass Surface</w:t>
            </w:r>
          </w:p>
        </w:tc>
      </w:tr>
      <w:tr>
        <w:tc>
          <w:tcPr>
            <w:tcW w:type="dxa" w:w="4320"/>
          </w:tcPr>
          <w:p>
            <w:r>
              <w:t>Gradientes</w:t>
            </w:r>
          </w:p>
        </w:tc>
        <w:tc>
          <w:tcPr>
            <w:tcW w:type="dxa" w:w="4320"/>
          </w:tcPr>
          <w:p>
            <w:r>
              <w:t>Humanati, MoniHook, VANE e WIC com versões para UI e Marketing</w:t>
            </w:r>
          </w:p>
        </w:tc>
      </w:tr>
      <w:tr>
        <w:tc>
          <w:tcPr>
            <w:tcW w:type="dxa" w:w="4320"/>
          </w:tcPr>
          <w:p>
            <w:r>
              <w:t>Linhas de Dados</w:t>
            </w:r>
          </w:p>
        </w:tc>
        <w:tc>
          <w:tcPr>
            <w:tcW w:type="dxa" w:w="4320"/>
          </w:tcPr>
          <w:p>
            <w:r>
              <w:t>Fluxos, conexões, nós, trilhas e elementos de integração</w:t>
            </w:r>
          </w:p>
        </w:tc>
      </w:tr>
      <w:tr>
        <w:tc>
          <w:tcPr>
            <w:tcW w:type="dxa" w:w="4320"/>
          </w:tcPr>
          <w:p>
            <w:r>
              <w:t>Shapes</w:t>
            </w:r>
          </w:p>
        </w:tc>
        <w:tc>
          <w:tcPr>
            <w:tcW w:type="dxa" w:w="4320"/>
          </w:tcPr>
          <w:p>
            <w:r>
              <w:t>Círculos, hexágonos, cards, painéis, molduras e overlays</w:t>
            </w:r>
          </w:p>
        </w:tc>
      </w:tr>
      <w:tr>
        <w:tc>
          <w:tcPr>
            <w:tcW w:type="dxa" w:w="4320"/>
          </w:tcPr>
          <w:p>
            <w:r>
              <w:t>Glow</w:t>
            </w:r>
          </w:p>
        </w:tc>
        <w:tc>
          <w:tcPr>
            <w:tcW w:type="dxa" w:w="4320"/>
          </w:tcPr>
          <w:p>
            <w:r>
              <w:t>Azul, Roxo e Verde para destaque de produtos</w:t>
            </w:r>
          </w:p>
        </w:tc>
      </w:tr>
      <w:tr>
        <w:tc>
          <w:tcPr>
            <w:tcW w:type="dxa" w:w="4320"/>
          </w:tcPr>
          <w:p>
            <w:r>
              <w:t>Padrões</w:t>
            </w:r>
          </w:p>
        </w:tc>
        <w:tc>
          <w:tcPr>
            <w:tcW w:type="dxa" w:w="4320"/>
          </w:tcPr>
          <w:p>
            <w:r>
              <w:t>Texturas discretas para apresentações e landing pages</w:t>
            </w:r>
          </w:p>
        </w:tc>
      </w:tr>
      <w:tr>
        <w:tc>
          <w:tcPr>
            <w:tcW w:type="dxa" w:w="4320"/>
          </w:tcPr>
          <w:p>
            <w:r>
              <w:t>Ilustrações</w:t>
            </w:r>
          </w:p>
        </w:tc>
        <w:tc>
          <w:tcPr>
            <w:tcW w:type="dxa" w:w="4320"/>
          </w:tcPr>
          <w:p>
            <w:r>
              <w:t>Executivos, operações, planejamento, workforce e integrações</w:t>
            </w:r>
          </w:p>
        </w:tc>
      </w:tr>
      <w:tr>
        <w:tc>
          <w:tcPr>
            <w:tcW w:type="dxa" w:w="4320"/>
          </w:tcPr>
          <w:p>
            <w:r>
              <w:t>Dashboards</w:t>
            </w:r>
          </w:p>
        </w:tc>
        <w:tc>
          <w:tcPr>
            <w:tcW w:type="dxa" w:w="4320"/>
          </w:tcPr>
          <w:p>
            <w:r>
              <w:t>Cards, KPIs, gráficos, timelines e mapas reutilizáveis</w:t>
            </w:r>
          </w:p>
        </w:tc>
      </w:tr>
    </w:tbl>
    <w:p>
      <w:pPr>
        <w:pStyle w:val="Heading2"/>
      </w:pPr>
      <w:r>
        <w:t>Diretrizes</w:t>
      </w:r>
    </w:p>
    <w:p>
      <w:r>
        <w:t>• Humanati: elementos institucionais em azul.</w:t>
        <w:br/>
        <w:t>• MoniHook: fluxos operacionais em azul/ciano.</w:t>
        <w:br/>
        <w:t>• VANE: planejamento estratégico em roxo escuro e interfaces sóbrias.</w:t>
        <w:br/>
        <w:t>• WIC: pessoas e workforce em verdes.</w:t>
        <w:br/>
        <w:t>• Evitar excesso de brilho e efeitos decorativos.</w:t>
      </w:r>
    </w:p>
    <w:p>
      <w:pPr>
        <w:pStyle w:val="Heading2"/>
      </w:pPr>
      <w:r>
        <w:t>Biblioteca prevista</w:t>
      </w:r>
    </w:p>
    <w:p>
      <w:r>
        <w:t>- 100 backgrounds</w:t>
        <w:br/>
        <w:t>- 250 objetos gráficos</w:t>
        <w:br/>
        <w:t>- 150 ilustrações proprietárias</w:t>
        <w:br/>
        <w:t>- 120 componentes para dashboards</w:t>
        <w:br/>
        <w:t>- Kit SVG reutilizável</w:t>
        <w:br/>
        <w:t>- PNG transparentes para marketing</w:t>
        <w:br/>
        <w:t>- Templates para apresentações e redes sociais</w:t>
      </w:r>
    </w:p>
    <w:p>
      <w:pPr>
        <w:pStyle w:val="Heading2"/>
      </w:pPr>
      <w:r>
        <w:t>Próxima Entrega</w:t>
      </w:r>
    </w:p>
    <w:p>
      <w:r>
        <w:t>HDS 006 – Icon Library: biblioteca vetorial de ícones para todo o ecossistema Humanati.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