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HDS 006 - Icon Library</w:t>
      </w:r>
    </w:p>
    <w:p>
      <w:r>
        <w:t>Humanati Design System</w:t>
        <w:br/>
        <w:t>Versão 1.0</w:t>
      </w:r>
    </w:p>
    <w:p>
      <w:pPr>
        <w:pStyle w:val="Heading2"/>
      </w:pPr>
      <w:r>
        <w:t>Objetivo</w:t>
      </w:r>
    </w:p>
    <w:p>
      <w:r>
        <w:t>Estabelecer uma biblioteca proprietária de ícones para todo o ecossistema Humanati, garantindo consistência visual entre produtos, interfaces e materiais de marketing.</w:t>
      </w:r>
    </w:p>
    <w:p>
      <w:pPr>
        <w:pStyle w:val="Heading2"/>
      </w:pPr>
      <w:r>
        <w:t>Princípios</w:t>
      </w:r>
    </w:p>
    <w:p>
      <w:r>
        <w:t>• Estilo: Outline como padrão, Filled para estados especiais.</w:t>
        <w:br/>
        <w:t>• Cantos arredondados.</w:t>
        <w:br/>
        <w:t>• Grid base: 24x24 px.</w:t>
        <w:br/>
        <w:t>• Espessura padrão: 2 px.</w:t>
        <w:br/>
        <w:t>• Exportação: SVG mestre, PDF vetorial e PNG transparente.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Categoria</w:t>
            </w:r>
          </w:p>
        </w:tc>
        <w:tc>
          <w:tcPr>
            <w:tcW w:type="dxa" w:w="4320"/>
          </w:tcPr>
          <w:p>
            <w:r>
              <w:t>Ícones previstos</w:t>
            </w:r>
          </w:p>
        </w:tc>
      </w:tr>
      <w:tr>
        <w:tc>
          <w:tcPr>
            <w:tcW w:type="dxa" w:w="4320"/>
          </w:tcPr>
          <w:p>
            <w:r>
              <w:t>Humanati Core</w:t>
            </w:r>
          </w:p>
        </w:tc>
        <w:tc>
          <w:tcPr>
            <w:tcW w:type="dxa" w:w="4320"/>
          </w:tcPr>
          <w:p>
            <w:r>
              <w:t>Cloud, Dados, Dashboard, Integração, API, Segurança, Analytics</w:t>
            </w:r>
          </w:p>
        </w:tc>
      </w:tr>
      <w:tr>
        <w:tc>
          <w:tcPr>
            <w:tcW w:type="dxa" w:w="4320"/>
          </w:tcPr>
          <w:p>
            <w:r>
              <w:t>MoniHook</w:t>
            </w:r>
          </w:p>
        </w:tc>
        <w:tc>
          <w:tcPr>
            <w:tcW w:type="dxa" w:w="4320"/>
          </w:tcPr>
          <w:p>
            <w:r>
              <w:t>KPIs, Alertas, Operações, Timeline, Disponibilidade, Incidentes</w:t>
            </w:r>
          </w:p>
        </w:tc>
      </w:tr>
      <w:tr>
        <w:tc>
          <w:tcPr>
            <w:tcW w:type="dxa" w:w="4320"/>
          </w:tcPr>
          <w:p>
            <w:r>
              <w:t>VANE</w:t>
            </w:r>
          </w:p>
        </w:tc>
        <w:tc>
          <w:tcPr>
            <w:tcW w:type="dxa" w:w="4320"/>
          </w:tcPr>
          <w:p>
            <w:r>
              <w:t>Objetivos, OKRs, Estratégia, Roadmap, SWOT, Projetos, Cenários, Prioridades</w:t>
            </w:r>
          </w:p>
        </w:tc>
      </w:tr>
      <w:tr>
        <w:tc>
          <w:tcPr>
            <w:tcW w:type="dxa" w:w="4320"/>
          </w:tcPr>
          <w:p>
            <w:r>
              <w:t>WIC</w:t>
            </w:r>
          </w:p>
        </w:tc>
        <w:tc>
          <w:tcPr>
            <w:tcW w:type="dxa" w:w="4320"/>
          </w:tcPr>
          <w:p>
            <w:r>
              <w:t>Escalas, Equipes, Turnos, Capacidade, Jornada, Produtividade, Turnover</w:t>
            </w:r>
          </w:p>
        </w:tc>
      </w:tr>
      <w:tr>
        <w:tc>
          <w:tcPr>
            <w:tcW w:type="dxa" w:w="4320"/>
          </w:tcPr>
          <w:p>
            <w:r>
              <w:t>UI</w:t>
            </w:r>
          </w:p>
        </w:tc>
        <w:tc>
          <w:tcPr>
            <w:tcW w:type="dxa" w:w="4320"/>
          </w:tcPr>
          <w:p>
            <w:r>
              <w:t>Menu, Busca, Configurações, Usuário, Notificação, Ajuda</w:t>
            </w:r>
          </w:p>
        </w:tc>
      </w:tr>
      <w:tr>
        <w:tc>
          <w:tcPr>
            <w:tcW w:type="dxa" w:w="4320"/>
          </w:tcPr>
          <w:p>
            <w:r>
              <w:t>Comunicação</w:t>
            </w:r>
          </w:p>
        </w:tc>
        <w:tc>
          <w:tcPr>
            <w:tcW w:type="dxa" w:w="4320"/>
          </w:tcPr>
          <w:p>
            <w:r>
              <w:t>Chat, E-mail, Compartilhar, Comentário, Documento</w:t>
            </w:r>
          </w:p>
        </w:tc>
      </w:tr>
    </w:tbl>
    <w:p>
      <w:pPr>
        <w:pStyle w:val="Heading2"/>
      </w:pPr>
      <w:r>
        <w:t>Convenções</w:t>
      </w:r>
    </w:p>
    <w:p>
      <w:r>
        <w:t>- Nomeação em inglês para arquivos SVG (ex.: dashboard.svg).</w:t>
        <w:br/>
        <w:t>- Prefixos: hu-, mh-, vane-, wic-.</w:t>
        <w:br/>
        <w:t>- Biblioteca organizada por categoria.</w:t>
        <w:br/>
        <w:t>- Compatível com Web, Flutter e React.</w:t>
      </w:r>
    </w:p>
    <w:p>
      <w:pPr>
        <w:pStyle w:val="Heading2"/>
      </w:pPr>
      <w:r>
        <w:t>Entregáveis</w:t>
      </w:r>
    </w:p>
    <w:p>
      <w:r>
        <w:t>• 500 ícones SVG</w:t>
        <w:br/>
        <w:t>• PNG transparentes</w:t>
        <w:br/>
        <w:t>• PDF de referência</w:t>
        <w:br/>
        <w:t>• Biblioteca por categoria</w:t>
        <w:br/>
        <w:t>• Guia de uso e nomenclatura</w:t>
      </w:r>
    </w:p>
    <w:p>
      <w:pPr>
        <w:pStyle w:val="Heading2"/>
      </w:pPr>
      <w:r>
        <w:t>Próxima Entrega</w:t>
      </w:r>
    </w:p>
    <w:p>
      <w:r>
        <w:t>HDS 007 – Dashboard Design System: componentes, KPIs, gráficos, cards e layouts para Humanati, MoniHook, VANE e WIC.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