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HDS 007 - Dashboard Design System</w:t>
      </w:r>
    </w:p>
    <w:p>
      <w:r>
        <w:t>Humanati Design System</w:t>
        <w:br/>
        <w:t>Versão 1.0</w:t>
      </w:r>
    </w:p>
    <w:p>
      <w:pPr>
        <w:pStyle w:val="Heading2"/>
      </w:pPr>
      <w:r>
        <w:t>Objetivo</w:t>
      </w:r>
    </w:p>
    <w:p>
      <w:r>
        <w:t>Definir o padrão visual, estrutural e funcional dos dashboards do ecossistema Humanati, garantindo consistência entre Humanati, MoniHook, VANE e WIC.</w:t>
      </w:r>
    </w:p>
    <w:p>
      <w:pPr>
        <w:pStyle w:val="Heading2"/>
      </w:pPr>
      <w:r>
        <w:t>Princípios de Design</w:t>
      </w:r>
    </w:p>
    <w:p>
      <w:r>
        <w:t>• Priorizar clareza e tomada de decisão.</w:t>
        <w:br/>
        <w:t>• Mostrar apenas indicadores relevantes.</w:t>
        <w:br/>
        <w:t>• Reduzir ruído visual.</w:t>
        <w:br/>
        <w:t>• Layout modular baseado em grid de 12 colunas.</w:t>
        <w:br/>
        <w:t>• Dark Theme como padrão para dashboards.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Produto</w:t>
            </w:r>
          </w:p>
        </w:tc>
        <w:tc>
          <w:tcPr>
            <w:tcW w:type="dxa" w:w="2880"/>
          </w:tcPr>
          <w:p>
            <w:r>
              <w:t>Foco</w:t>
            </w:r>
          </w:p>
        </w:tc>
        <w:tc>
          <w:tcPr>
            <w:tcW w:type="dxa" w:w="2880"/>
          </w:tcPr>
          <w:p>
            <w:r>
              <w:t>Widgets principais</w:t>
            </w:r>
          </w:p>
        </w:tc>
      </w:tr>
      <w:tr>
        <w:tc>
          <w:tcPr>
            <w:tcW w:type="dxa" w:w="2880"/>
          </w:tcPr>
          <w:p>
            <w:r>
              <w:t>Humanati</w:t>
            </w:r>
          </w:p>
        </w:tc>
        <w:tc>
          <w:tcPr>
            <w:tcW w:type="dxa" w:w="2880"/>
          </w:tcPr>
          <w:p>
            <w:r>
              <w:t>Visão Executiva</w:t>
            </w:r>
          </w:p>
        </w:tc>
        <w:tc>
          <w:tcPr>
            <w:tcW w:type="dxa" w:w="2880"/>
          </w:tcPr>
          <w:p>
            <w:r>
              <w:t>KPIs, Resumo Executivo, Alertas, Tendências</w:t>
            </w:r>
          </w:p>
        </w:tc>
      </w:tr>
      <w:tr>
        <w:tc>
          <w:tcPr>
            <w:tcW w:type="dxa" w:w="2880"/>
          </w:tcPr>
          <w:p>
            <w:r>
              <w:t>MoniHook</w:t>
            </w:r>
          </w:p>
        </w:tc>
        <w:tc>
          <w:tcPr>
            <w:tcW w:type="dxa" w:w="2880"/>
          </w:tcPr>
          <w:p>
            <w:r>
              <w:t>Gestão Operacional</w:t>
            </w:r>
          </w:p>
        </w:tc>
        <w:tc>
          <w:tcPr>
            <w:tcW w:type="dxa" w:w="2880"/>
          </w:tcPr>
          <w:p>
            <w:r>
              <w:t>KPIs operacionais, disponibilidade, integrações, incidentes</w:t>
            </w:r>
          </w:p>
        </w:tc>
      </w:tr>
      <w:tr>
        <w:tc>
          <w:tcPr>
            <w:tcW w:type="dxa" w:w="2880"/>
          </w:tcPr>
          <w:p>
            <w:r>
              <w:t>VANE</w:t>
            </w:r>
          </w:p>
        </w:tc>
        <w:tc>
          <w:tcPr>
            <w:tcW w:type="dxa" w:w="2880"/>
          </w:tcPr>
          <w:p>
            <w:r>
              <w:t>Planejamento Estratégico</w:t>
            </w:r>
          </w:p>
        </w:tc>
        <w:tc>
          <w:tcPr>
            <w:tcW w:type="dxa" w:w="2880"/>
          </w:tcPr>
          <w:p>
            <w:r>
              <w:t>OKRs, Objetivos, Roadmap, Projetos, Cenários, Riscos</w:t>
            </w:r>
          </w:p>
        </w:tc>
      </w:tr>
      <w:tr>
        <w:tc>
          <w:tcPr>
            <w:tcW w:type="dxa" w:w="2880"/>
          </w:tcPr>
          <w:p>
            <w:r>
              <w:t>WIC</w:t>
            </w:r>
          </w:p>
        </w:tc>
        <w:tc>
          <w:tcPr>
            <w:tcW w:type="dxa" w:w="2880"/>
          </w:tcPr>
          <w:p>
            <w:r>
              <w:t>Força de Trabalho</w:t>
            </w:r>
          </w:p>
        </w:tc>
        <w:tc>
          <w:tcPr>
            <w:tcW w:type="dxa" w:w="2880"/>
          </w:tcPr>
          <w:p>
            <w:r>
              <w:t>Escalas, Capacidade, Produtividade, Jornada, Horas Extras</w:t>
            </w:r>
          </w:p>
        </w:tc>
      </w:tr>
    </w:tbl>
    <w:p>
      <w:pPr>
        <w:pStyle w:val="Heading2"/>
      </w:pPr>
      <w:r>
        <w:t>Biblioteca de Componentes</w:t>
      </w:r>
    </w:p>
    <w:p>
      <w:r>
        <w:t>- KPI Cards</w:t>
        <w:br/>
        <w:t>- Indicadores de tendência</w:t>
        <w:br/>
        <w:t>- Gráficos de linha, barras e área</w:t>
        <w:br/>
        <w:t>- Heatmaps</w:t>
        <w:br/>
        <w:t>- Timeline</w:t>
        <w:br/>
        <w:t>- Calendário estratégico</w:t>
        <w:br/>
        <w:t>- Tabela inteligente</w:t>
        <w:br/>
        <w:t>- Alertas</w:t>
        <w:br/>
        <w:t>- Feed de eventos</w:t>
        <w:br/>
        <w:t>- Mapa de integrações</w:t>
      </w:r>
    </w:p>
    <w:p>
      <w:pPr>
        <w:pStyle w:val="Heading2"/>
      </w:pPr>
      <w:r>
        <w:t>Padrão Visual</w:t>
      </w:r>
    </w:p>
    <w:p>
      <w:r>
        <w:t>Humanati: azul institucional.</w:t>
        <w:br/>
        <w:t>MoniHook: azul/ciano.</w:t>
        <w:br/>
        <w:t>VANE: roxo escuro com foco em planejamento estratégico (sem aparência de chatbot).</w:t>
        <w:br/>
        <w:t>WIC: verde para indicadores de pessoas e produtividade.</w:t>
      </w:r>
    </w:p>
    <w:p>
      <w:pPr>
        <w:pStyle w:val="Heading2"/>
      </w:pPr>
      <w:r>
        <w:t>Entregáveis previstos</w:t>
      </w:r>
    </w:p>
    <w:p>
      <w:r>
        <w:t>• Biblioteca de 120 componentes</w:t>
        <w:br/>
        <w:t>• Layouts desktop, tablet e mobile</w:t>
        <w:br/>
        <w:t>• Templates Figma</w:t>
        <w:br/>
        <w:t>• SVG dos componentes gráficos</w:t>
        <w:br/>
        <w:t>• Guia de UX para dashboards</w:t>
      </w:r>
    </w:p>
    <w:p>
      <w:pPr>
        <w:pStyle w:val="Heading2"/>
      </w:pPr>
      <w:r>
        <w:t>Próxima Entrega</w:t>
      </w:r>
    </w:p>
    <w:p>
      <w:r>
        <w:t>HDS 008 – UI Kit: componentes de interface, formulários, navegação, tabelas, modais, notificações e padrões para desenvolvimento.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