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008 - UI Kit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Definir o conjunto oficial de componentes de interface para Humanati, MoniHook, VANE e WIC, garantindo consistência visual, acessibilidade e reutilização.</w:t>
      </w:r>
    </w:p>
    <w:p>
      <w:pPr>
        <w:pStyle w:val="Heading2"/>
      </w:pPr>
      <w:r>
        <w:t>Princípios</w:t>
      </w:r>
    </w:p>
    <w:p>
      <w:r>
        <w:t>• Interface limpa e orientada a decisões.</w:t>
        <w:br/>
        <w:t>• Componentes modulares.</w:t>
        <w:br/>
        <w:t>• Dark Theme como padrão; Light Theme opcional.</w:t>
        <w:br/>
        <w:t>• Grid de 8 pt.</w:t>
        <w:br/>
        <w:t>• Estados consistentes (Default, Hover, Focus, Disabled, Error, Success).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Componentes</w:t>
            </w:r>
          </w:p>
        </w:tc>
        <w:tc>
          <w:tcPr>
            <w:tcW w:type="dxa" w:w="2880"/>
          </w:tcPr>
          <w:p>
            <w:r>
              <w:t>Observações</w:t>
            </w:r>
          </w:p>
        </w:tc>
      </w:tr>
      <w:tr>
        <w:tc>
          <w:tcPr>
            <w:tcW w:type="dxa" w:w="2880"/>
          </w:tcPr>
          <w:p>
            <w:r>
              <w:t>Navegação</w:t>
            </w:r>
          </w:p>
        </w:tc>
        <w:tc>
          <w:tcPr>
            <w:tcW w:type="dxa" w:w="2880"/>
          </w:tcPr>
          <w:p>
            <w:r>
              <w:t>Top Bar, Sidebar, Breadcrumb, Tabs</w:t>
            </w:r>
          </w:p>
        </w:tc>
        <w:tc>
          <w:tcPr>
            <w:tcW w:type="dxa" w:w="2880"/>
          </w:tcPr>
          <w:p>
            <w:r>
              <w:t>Responsivo</w:t>
            </w:r>
          </w:p>
        </w:tc>
      </w:tr>
      <w:tr>
        <w:tc>
          <w:tcPr>
            <w:tcW w:type="dxa" w:w="2880"/>
          </w:tcPr>
          <w:p>
            <w:r>
              <w:t>Botões</w:t>
            </w:r>
          </w:p>
        </w:tc>
        <w:tc>
          <w:tcPr>
            <w:tcW w:type="dxa" w:w="2880"/>
          </w:tcPr>
          <w:p>
            <w:r>
              <w:t>Primary, Secondary, Ghost, Icon</w:t>
            </w:r>
          </w:p>
        </w:tc>
        <w:tc>
          <w:tcPr>
            <w:tcW w:type="dxa" w:w="2880"/>
          </w:tcPr>
          <w:p>
            <w:r>
              <w:t>Estados completos</w:t>
            </w:r>
          </w:p>
        </w:tc>
      </w:tr>
      <w:tr>
        <w:tc>
          <w:tcPr>
            <w:tcW w:type="dxa" w:w="2880"/>
          </w:tcPr>
          <w:p>
            <w:r>
              <w:t>Formulários</w:t>
            </w:r>
          </w:p>
        </w:tc>
        <w:tc>
          <w:tcPr>
            <w:tcW w:type="dxa" w:w="2880"/>
          </w:tcPr>
          <w:p>
            <w:r>
              <w:t>Input, Select, Checkbox, Radio, Switch, Date Picker</w:t>
            </w:r>
          </w:p>
        </w:tc>
        <w:tc>
          <w:tcPr>
            <w:tcW w:type="dxa" w:w="2880"/>
          </w:tcPr>
          <w:p>
            <w:r>
              <w:t>Validação visual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Toast, Alert, Modal, Dialog, Tooltip</w:t>
            </w:r>
          </w:p>
        </w:tc>
        <w:tc>
          <w:tcPr>
            <w:tcW w:type="dxa" w:w="2880"/>
          </w:tcPr>
          <w:p>
            <w:r>
              <w:t>Acessível</w:t>
            </w:r>
          </w:p>
        </w:tc>
      </w:tr>
      <w:tr>
        <w:tc>
          <w:tcPr>
            <w:tcW w:type="dxa" w:w="2880"/>
          </w:tcPr>
          <w:p>
            <w:r>
              <w:t>Dados</w:t>
            </w:r>
          </w:p>
        </w:tc>
        <w:tc>
          <w:tcPr>
            <w:tcW w:type="dxa" w:w="2880"/>
          </w:tcPr>
          <w:p>
            <w:r>
              <w:t>Table, KPI Card, Chart Card, Timeline</w:t>
            </w:r>
          </w:p>
        </w:tc>
        <w:tc>
          <w:tcPr>
            <w:tcW w:type="dxa" w:w="2880"/>
          </w:tcPr>
          <w:p>
            <w:r>
              <w:t>Base para dashboards</w:t>
            </w:r>
          </w:p>
        </w:tc>
      </w:tr>
      <w:tr>
        <w:tc>
          <w:tcPr>
            <w:tcW w:type="dxa" w:w="2880"/>
          </w:tcPr>
          <w:p>
            <w:r>
              <w:t>Listas</w:t>
            </w:r>
          </w:p>
        </w:tc>
        <w:tc>
          <w:tcPr>
            <w:tcW w:type="dxa" w:w="2880"/>
          </w:tcPr>
          <w:p>
            <w:r>
              <w:t>Accordion, List, Tree View</w:t>
            </w:r>
          </w:p>
        </w:tc>
        <w:tc>
          <w:tcPr>
            <w:tcW w:type="dxa" w:w="2880"/>
          </w:tcPr>
          <w:p>
            <w:r>
              <w:t>Hierarquia</w:t>
            </w:r>
          </w:p>
        </w:tc>
      </w:tr>
      <w:tr>
        <w:tc>
          <w:tcPr>
            <w:tcW w:type="dxa" w:w="2880"/>
          </w:tcPr>
          <w:p>
            <w:r>
              <w:t>Upload</w:t>
            </w:r>
          </w:p>
        </w:tc>
        <w:tc>
          <w:tcPr>
            <w:tcW w:type="dxa" w:w="2880"/>
          </w:tcPr>
          <w:p>
            <w:r>
              <w:t>Upload, Dropzone, Progress</w:t>
            </w:r>
          </w:p>
        </w:tc>
        <w:tc>
          <w:tcPr>
            <w:tcW w:type="dxa" w:w="2880"/>
          </w:tcPr>
          <w:p>
            <w:r>
              <w:t>Arquivos</w:t>
            </w:r>
          </w:p>
        </w:tc>
      </w:tr>
      <w:tr>
        <w:tc>
          <w:tcPr>
            <w:tcW w:type="dxa" w:w="2880"/>
          </w:tcPr>
          <w:p>
            <w:r>
              <w:t>Usuário</w:t>
            </w:r>
          </w:p>
        </w:tc>
        <w:tc>
          <w:tcPr>
            <w:tcW w:type="dxa" w:w="2880"/>
          </w:tcPr>
          <w:p>
            <w:r>
              <w:t>Avatar, Profile Menu, Notifications</w:t>
            </w:r>
          </w:p>
        </w:tc>
        <w:tc>
          <w:tcPr>
            <w:tcW w:type="dxa" w:w="2880"/>
          </w:tcPr>
          <w:p>
            <w:r>
              <w:t>Sessão</w:t>
            </w:r>
          </w:p>
        </w:tc>
      </w:tr>
      <w:tr>
        <w:tc>
          <w:tcPr>
            <w:tcW w:type="dxa" w:w="2880"/>
          </w:tcPr>
          <w:p>
            <w:r>
              <w:t>Layout</w:t>
            </w:r>
          </w:p>
        </w:tc>
        <w:tc>
          <w:tcPr>
            <w:tcW w:type="dxa" w:w="2880"/>
          </w:tcPr>
          <w:p>
            <w:r>
              <w:t>Cards, Containers, Grid, Dividers</w:t>
            </w:r>
          </w:p>
        </w:tc>
        <w:tc>
          <w:tcPr>
            <w:tcW w:type="dxa" w:w="2880"/>
          </w:tcPr>
          <w:p>
            <w:r>
              <w:t>Consistência</w:t>
            </w:r>
          </w:p>
        </w:tc>
      </w:tr>
    </w:tbl>
    <w:p>
      <w:pPr>
        <w:pStyle w:val="Heading2"/>
      </w:pPr>
      <w:r>
        <w:t>Padrão por Produto</w:t>
      </w:r>
    </w:p>
    <w:p>
      <w:r>
        <w:t>Humanati: azul institucional.</w:t>
        <w:br/>
        <w:t>MoniHook: foco operacional.</w:t>
        <w:br/>
        <w:t>VANE: interface executiva em tons de roxo escuro, voltada ao planejamento estratégico.</w:t>
        <w:br/>
        <w:t>WIC: interface orientada à gestão da força de trabalho em tons de verde.</w:t>
      </w:r>
    </w:p>
    <w:p>
      <w:pPr>
        <w:pStyle w:val="Heading2"/>
      </w:pPr>
      <w:r>
        <w:t>Design Tokens</w:t>
      </w:r>
    </w:p>
    <w:p>
      <w:r>
        <w:t>Border Radius: 12 px</w:t>
        <w:br/>
        <w:t>Grid: 8 pt</w:t>
        <w:br/>
        <w:t>Sombra padrão: Soft</w:t>
        <w:br/>
        <w:t>Fonte: Inter (UI)</w:t>
        <w:br/>
        <w:t>Títulos: Sora</w:t>
        <w:br/>
        <w:t>Ícones: Grid 24x24 px</w:t>
      </w:r>
    </w:p>
    <w:p>
      <w:pPr>
        <w:pStyle w:val="Heading2"/>
      </w:pPr>
      <w:r>
        <w:t>Entregáveis previstos</w:t>
      </w:r>
    </w:p>
    <w:p>
      <w:r>
        <w:t>• Biblioteca de componentes</w:t>
        <w:br/>
        <w:t>• Especificação para React e Flutter</w:t>
        <w:br/>
        <w:t>• Templates Figma</w:t>
        <w:br/>
        <w:t>• SVG dos componentes</w:t>
        <w:br/>
        <w:t>• Guia de acessibilidade</w:t>
      </w:r>
    </w:p>
    <w:p>
      <w:pPr>
        <w:pStyle w:val="Heading2"/>
      </w:pPr>
      <w:r>
        <w:t>Próxima Entrega</w:t>
      </w:r>
    </w:p>
    <w:p>
      <w:r>
        <w:t>HDS 009 – Marketing Design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