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010 - Sales Kit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Padronizar toda a comunicação comercial da Humanati.</w:t>
      </w:r>
    </w:p>
    <w:p>
      <w:pPr>
        <w:pStyle w:val="Heading2"/>
      </w:pPr>
      <w:r>
        <w:t>Materiais</w:t>
      </w:r>
    </w:p>
    <w:p>
      <w:r>
        <w:t>Apresentação institucional, proposta comercial, one-page, folder, estudos de caso, ROI calculator.</w:t>
      </w:r>
    </w:p>
    <w:p>
      <w:pPr>
        <w:pStyle w:val="Heading2"/>
      </w:pPr>
      <w:r>
        <w:t>Padrões</w:t>
      </w:r>
    </w:p>
    <w:p>
      <w:r>
        <w:t>Tom consultivo, foco em valor, decisões e resultados.</w:t>
      </w:r>
    </w:p>
    <w:p>
      <w:pPr>
        <w:pStyle w:val="Heading2"/>
      </w:pPr>
      <w:r>
        <w:t>Entregáveis</w:t>
      </w:r>
    </w:p>
    <w:p>
      <w:r>
        <w:t>Templates PPTX, DOCX, PDF, proposta, apresentação executiva e checklist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