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012 – Humanati Illustration System (HIS)</w:t>
      </w:r>
    </w:p>
    <w:p>
      <w:r>
        <w:t>Humanati Design System</w:t>
        <w:br/>
        <w:t>Versão 1.0</w:t>
        <w:br/>
      </w:r>
    </w:p>
    <w:p>
      <w:pPr>
        <w:pStyle w:val="Heading2"/>
      </w:pPr>
      <w:r>
        <w:t>Objetivo</w:t>
      </w:r>
    </w:p>
    <w:p>
      <w:r>
        <w:t>Definir a linguagem oficial de ilustração da Humanati e estabelecer uma biblioteca proprietária reutilizável para marketing, produto, apresentações e documentação.</w:t>
      </w:r>
    </w:p>
    <w:p>
      <w:pPr>
        <w:pStyle w:val="Heading2"/>
      </w:pPr>
      <w:r>
        <w:t>Princípios Visuais</w:t>
      </w:r>
    </w:p>
    <w:p>
      <w:r>
        <w:t>• Estilo: 3D minimalista / semi-isométrico</w:t>
        <w:br/>
        <w:t>• Visual premium inspirado em software enterprise</w:t>
        <w:br/>
        <w:t>• Poucos elementos por cena</w:t>
        <w:br/>
        <w:t>• Sombras suaves</w:t>
        <w:br/>
        <w:t>• Glassmorphism discreto</w:t>
        <w:br/>
        <w:t>• Sem aparência cyberpunk</w:t>
        <w:br/>
        <w:t>• Sem personagens caricatos</w:t>
        <w:br/>
        <w:t>• Foco em inteligência, estratégia e operações</w:t>
      </w:r>
    </w:p>
    <w:p>
      <w:pPr>
        <w:pStyle w:val="Heading2"/>
      </w:pPr>
      <w:r>
        <w:t>Paleta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Cor predominante</w:t>
            </w:r>
          </w:p>
        </w:tc>
      </w:tr>
      <w:tr>
        <w:tc>
          <w:tcPr>
            <w:tcW w:type="dxa" w:w="4320"/>
          </w:tcPr>
          <w:p>
            <w:r>
              <w:t>Humanati</w:t>
            </w:r>
          </w:p>
        </w:tc>
        <w:tc>
          <w:tcPr>
            <w:tcW w:type="dxa" w:w="4320"/>
          </w:tcPr>
          <w:p>
            <w:r>
              <w:t>Azul institucional</w:t>
            </w:r>
          </w:p>
        </w:tc>
      </w:tr>
      <w:tr>
        <w:tc>
          <w:tcPr>
            <w:tcW w:type="dxa" w:w="4320"/>
          </w:tcPr>
          <w:p>
            <w:r>
              <w:t>MoniHook</w:t>
            </w:r>
          </w:p>
        </w:tc>
        <w:tc>
          <w:tcPr>
            <w:tcW w:type="dxa" w:w="4320"/>
          </w:tcPr>
          <w:p>
            <w:r>
              <w:t>Azul/Ciano</w:t>
            </w:r>
          </w:p>
        </w:tc>
      </w:tr>
      <w:tr>
        <w:tc>
          <w:tcPr>
            <w:tcW w:type="dxa" w:w="4320"/>
          </w:tcPr>
          <w:p>
            <w:r>
              <w:t>VANE</w:t>
            </w:r>
          </w:p>
        </w:tc>
        <w:tc>
          <w:tcPr>
            <w:tcW w:type="dxa" w:w="4320"/>
          </w:tcPr>
          <w:p>
            <w:r>
              <w:t>Roxo escuro (planejamento estratégico)</w:t>
            </w:r>
          </w:p>
        </w:tc>
      </w:tr>
      <w:tr>
        <w:tc>
          <w:tcPr>
            <w:tcW w:type="dxa" w:w="4320"/>
          </w:tcPr>
          <w:p>
            <w:r>
              <w:t>WIC</w:t>
            </w:r>
          </w:p>
        </w:tc>
        <w:tc>
          <w:tcPr>
            <w:tcW w:type="dxa" w:w="4320"/>
          </w:tcPr>
          <w:p>
            <w:r>
              <w:t>Verde (workforce)</w:t>
            </w:r>
          </w:p>
        </w:tc>
      </w:tr>
    </w:tbl>
    <w:p>
      <w:pPr>
        <w:pStyle w:val="Heading2"/>
      </w:pPr>
      <w:r>
        <w:t>Biblioteca de Ilustrações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Executivos</w:t>
            </w:r>
          </w:p>
        </w:tc>
        <w:tc>
          <w:tcPr>
            <w:tcW w:type="dxa" w:w="4320"/>
          </w:tcPr>
          <w:p>
            <w:r>
              <w:t>CEO, COO, CIO, RH, Operações, TI, Estratégia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Centro de Operações, Sala de Reunião, Planejamento, Datacenter, Indústria</w:t>
            </w:r>
          </w:p>
        </w:tc>
      </w:tr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Dashboards, KPIs, APIs, Cloud, Integrações, IA aplicada</w:t>
            </w:r>
          </w:p>
        </w:tc>
      </w:tr>
      <w:tr>
        <w:tc>
          <w:tcPr>
            <w:tcW w:type="dxa" w:w="4320"/>
          </w:tcPr>
          <w:p>
            <w:r>
              <w:t>Situações</w:t>
            </w:r>
          </w:p>
        </w:tc>
        <w:tc>
          <w:tcPr>
            <w:tcW w:type="dxa" w:w="4320"/>
          </w:tcPr>
          <w:p>
            <w:r>
              <w:t>Apresentações, Análises, Decisões, Workshops, Operação</w:t>
            </w:r>
          </w:p>
        </w:tc>
      </w:tr>
      <w:tr>
        <w:tc>
          <w:tcPr>
            <w:tcW w:type="dxa" w:w="4320"/>
          </w:tcPr>
          <w:p>
            <w:r>
              <w:t>Objetos</w:t>
            </w:r>
          </w:p>
        </w:tc>
        <w:tc>
          <w:tcPr>
            <w:tcW w:type="dxa" w:w="4320"/>
          </w:tcPr>
          <w:p>
            <w:r>
              <w:t>Notebooks, Monitores, Smartphones, Whiteboards, Mesas</w:t>
            </w:r>
          </w:p>
        </w:tc>
      </w:tr>
    </w:tbl>
    <w:p>
      <w:pPr>
        <w:pStyle w:val="Heading2"/>
      </w:pPr>
      <w:r>
        <w:t>Diretrizes</w:t>
      </w:r>
    </w:p>
    <w:p>
      <w:r>
        <w:t>• Todas as ilustrações devem existir em versões 1:1 e 16:9.</w:t>
        <w:br/>
        <w:t>• Base vetorial para evolução futura.</w:t>
        <w:br/>
        <w:t>• Exportação padrão: SVG, PNG transparente e PDF.</w:t>
        <w:br/>
        <w:t>• Manter consistência entre Humanati, MoniHook, VANE e WIC.</w:t>
      </w:r>
    </w:p>
    <w:p>
      <w:pPr>
        <w:pStyle w:val="Heading2"/>
      </w:pPr>
      <w:r>
        <w:t>Roadmap da Biblioteca</w:t>
      </w:r>
    </w:p>
    <w:p>
      <w:r>
        <w:t>Executivos: 80</w:t>
        <w:br/>
        <w:t>Ambientes: 60</w:t>
        <w:br/>
        <w:t>Objetos: 150</w:t>
        <w:br/>
        <w:t>Tecnologia: 140</w:t>
        <w:br/>
        <w:t>Situações: 120</w:t>
        <w:br/>
        <w:t>Total estimado: ~550 ilustrações proprietárias.</w:t>
      </w:r>
    </w:p>
    <w:p>
      <w:pPr>
        <w:pStyle w:val="Heading2"/>
      </w:pPr>
      <w:r>
        <w:t>Próxima Sprint</w:t>
      </w:r>
    </w:p>
    <w:p>
      <w:r>
        <w:t>HDS 013 – Humanati Object Library (biblioteca de objetos gráficos e SVG reutilizáveis).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