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013 – Humanati Object Library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Criar uma biblioteca proprietária de objetos gráficos reutilizáveis para todo o ecossistema Humanati, padronizando elementos visuais para produtos, marketing, apresentações e materiais institucionais.</w:t>
      </w:r>
    </w:p>
    <w:p>
      <w:pPr>
        <w:pStyle w:val="Heading2"/>
      </w:pPr>
      <w:r>
        <w:t>Categorias da Biblioteca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Quantidade alvo</w:t>
            </w:r>
          </w:p>
        </w:tc>
        <w:tc>
          <w:tcPr>
            <w:tcW w:type="dxa" w:w="2880"/>
          </w:tcPr>
          <w:p>
            <w:r>
              <w:t>Aplicação</w:t>
            </w:r>
          </w:p>
        </w:tc>
      </w:tr>
      <w:tr>
        <w:tc>
          <w:tcPr>
            <w:tcW w:type="dxa" w:w="2880"/>
          </w:tcPr>
          <w:p>
            <w:r>
              <w:t>Backgrounds Premium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Sites, apresentações e redes sociais</w:t>
            </w:r>
          </w:p>
        </w:tc>
      </w:tr>
      <w:tr>
        <w:tc>
          <w:tcPr>
            <w:tcW w:type="dxa" w:w="2880"/>
          </w:tcPr>
          <w:p>
            <w:r>
              <w:t>Shapes e Molduras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Cards, banners e interfaces</w:t>
            </w:r>
          </w:p>
        </w:tc>
      </w:tr>
      <w:tr>
        <w:tc>
          <w:tcPr>
            <w:tcW w:type="dxa" w:w="2880"/>
          </w:tcPr>
          <w:p>
            <w:r>
              <w:t>Data Flows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Integrações e arquitetura</w:t>
            </w:r>
          </w:p>
        </w:tc>
      </w:tr>
      <w:tr>
        <w:tc>
          <w:tcPr>
            <w:tcW w:type="dxa" w:w="2880"/>
          </w:tcPr>
          <w:p>
            <w:r>
              <w:t>Glass Panels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Dashboards e landing pages</w:t>
            </w:r>
          </w:p>
        </w:tc>
      </w:tr>
      <w:tr>
        <w:tc>
          <w:tcPr>
            <w:tcW w:type="dxa" w:w="2880"/>
          </w:tcPr>
          <w:p>
            <w:r>
              <w:t>Widgets Gráficos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KPIs, indicadores e mockups</w:t>
            </w:r>
          </w:p>
        </w:tc>
      </w:tr>
      <w:tr>
        <w:tc>
          <w:tcPr>
            <w:tcW w:type="dxa" w:w="2880"/>
          </w:tcPr>
          <w:p>
            <w:r>
              <w:t>Gradientes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Marketing e branding</w:t>
            </w:r>
          </w:p>
        </w:tc>
      </w:tr>
      <w:tr>
        <w:tc>
          <w:tcPr>
            <w:tcW w:type="dxa" w:w="2880"/>
          </w:tcPr>
          <w:p>
            <w:r>
              <w:t>Glow e Efeitos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Destaques visuais</w:t>
            </w:r>
          </w:p>
        </w:tc>
      </w:tr>
      <w:tr>
        <w:tc>
          <w:tcPr>
            <w:tcW w:type="dxa" w:w="2880"/>
          </w:tcPr>
          <w:p>
            <w:r>
              <w:t>Objetos 3D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Campanhas, produto e apresentações</w:t>
            </w:r>
          </w:p>
        </w:tc>
      </w:tr>
    </w:tbl>
    <w:p>
      <w:pPr>
        <w:pStyle w:val="Heading2"/>
      </w:pPr>
      <w:r>
        <w:t>Padrão Técnico</w:t>
      </w:r>
    </w:p>
    <w:p>
      <w:r>
        <w:t>• Formato mestre: SVG vetorial</w:t>
        <w:br/>
        <w:t>• Exportações: PNG transparente, PDF e WebP</w:t>
        <w:br/>
        <w:t>• Grid base: 8 px</w:t>
        <w:br/>
        <w:t>• Compatível com Figma, Illustrator e PowerPoint</w:t>
        <w:br/>
        <w:t>• Nomenclatura padronizada por categoria</w:t>
      </w:r>
    </w:p>
    <w:p>
      <w:pPr>
        <w:pStyle w:val="Heading2"/>
      </w:pPr>
      <w:r>
        <w:t>Estrutura de Pastas</w:t>
      </w:r>
    </w:p>
    <w:p>
      <w:r>
        <w:t>Assets/</w:t>
        <w:br/>
        <w:t xml:space="preserve"> ├── Backgrounds</w:t>
        <w:br/>
        <w:t xml:space="preserve"> ├── DataFlows</w:t>
        <w:br/>
        <w:t xml:space="preserve"> ├── Glass</w:t>
        <w:br/>
        <w:t xml:space="preserve"> ├── Gradients</w:t>
        <w:br/>
        <w:t xml:space="preserve"> ├── Shapes</w:t>
        <w:br/>
        <w:t xml:space="preserve"> ├── Widgets</w:t>
        <w:br/>
        <w:t xml:space="preserve"> ├── 3D</w:t>
        <w:br/>
        <w:t xml:space="preserve"> └── SVG</w:t>
      </w:r>
    </w:p>
    <w:p>
      <w:pPr>
        <w:pStyle w:val="Heading2"/>
      </w:pPr>
      <w:r>
        <w:t>Diretrizes</w:t>
      </w:r>
    </w:p>
    <w:p>
      <w:r>
        <w:t>• Todos os objetos devem existir em tema claro e escuro.</w:t>
        <w:br/>
        <w:t>• Evitar elementos genéricos de bancos de imagem.</w:t>
        <w:br/>
        <w:t>• Priorizar linguagem visual consistente entre Humanati, MoniHook, VANE e WIC.</w:t>
        <w:br/>
        <w:t>• Biblioteca preparada para reutilização em interfaces e campanhas.</w:t>
      </w:r>
    </w:p>
    <w:p>
      <w:pPr>
        <w:pStyle w:val="Heading2"/>
      </w:pPr>
      <w:r>
        <w:t>Próxima Sprint</w:t>
      </w:r>
    </w:p>
    <w:p>
      <w:r>
        <w:t>HDS 014 – Dashboard Component Library: biblioteca de componentes visuais, KPIs, gráficos, cards e layouts reutilizáveis.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