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7FF"/>
          <w:sz w:val="22"/>
        </w:rPr>
        <w:t>HUMANATI DESIGN SYSTEM</w:t>
      </w:r>
    </w:p>
    <w:p>
      <w:pPr>
        <w:jc w:val="center"/>
      </w:pPr>
      <w:r>
        <w:rPr>
          <w:b/>
          <w:color w:val="081C36"/>
          <w:sz w:val="84"/>
        </w:rPr>
        <w:t>HDS 014</w:t>
      </w:r>
    </w:p>
    <w:p>
      <w:pPr>
        <w:jc w:val="center"/>
      </w:pPr>
      <w:r>
        <w:rPr>
          <w:b/>
          <w:color w:val="18202B"/>
          <w:sz w:val="44"/>
        </w:rPr>
        <w:t>Dashboard Component Library</w:t>
      </w:r>
    </w:p>
    <w:p>
      <w:pPr>
        <w:jc w:val="center"/>
      </w:pPr>
      <w:r>
        <w:rPr>
          <w:color w:val="5B6573"/>
          <w:sz w:val="20"/>
        </w:rPr>
        <w:t>Versão 1.0  •  Product Design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232"/>
            <w:shd w:fill="0057FF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Humanati</w:t>
            </w:r>
          </w:p>
        </w:tc>
        <w:tc>
          <w:tcPr>
            <w:tcW w:type="dxa" w:w="2232"/>
            <w:shd w:fill="00D2FF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MoniHook</w:t>
            </w:r>
          </w:p>
        </w:tc>
        <w:tc>
          <w:tcPr>
            <w:tcW w:type="dxa" w:w="2232"/>
            <w:shd w:fill="6A3DF0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VANE</w:t>
            </w:r>
          </w:p>
        </w:tc>
        <w:tc>
          <w:tcPr>
            <w:tcW w:type="dxa" w:w="2232"/>
            <w:shd w:fill="00C875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WIC</w:t>
            </w:r>
          </w:p>
        </w:tc>
      </w:tr>
    </w:tbl>
    <w:p/>
    <w:p>
      <w:pPr>
        <w:jc w:val="center"/>
      </w:pPr>
      <w:r>
        <w:rPr>
          <w:i/>
          <w:color w:val="5B6573"/>
          <w:sz w:val="24"/>
        </w:rPr>
        <w:t>Componentes consistentes. Decisões mais rápidas. Produtos mais reconhecíveis.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uma biblioteca modular de componentes para dashboards do ecossistema Humanati, com padrões visuais e funcionais compartilhados entre Humanati, MoniHook, VANE e WIC. A biblioteca serve como referência para design, desenvolvimento, demonstrações comerciais e materiais de marketing.</w:t>
      </w:r>
    </w:p>
    <w:p>
      <w:pPr>
        <w:pStyle w:val="Heading1"/>
      </w:pPr>
      <w:r>
        <w:t>2. Princípios do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20"/>
              </w:rPr>
              <w:t>Clareza</w:t>
            </w:r>
            <w:r>
              <w:rPr>
                <w:sz w:val="16"/>
              </w:rPr>
              <w:br/>
              <w:t>A informação mais importante deve ser compreendida em poucos segundos.</w:t>
            </w:r>
          </w:p>
        </w:tc>
        <w:tc>
          <w:tcPr>
            <w:tcW w:type="dxa" w:w="3552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20"/>
              </w:rPr>
              <w:t>Hierarquia</w:t>
            </w:r>
            <w:r>
              <w:rPr>
                <w:sz w:val="16"/>
              </w:rPr>
              <w:br/>
              <w:t>KPIs, alertas e tendências precisam ter prioridade visual previsível.</w:t>
            </w:r>
          </w:p>
        </w:tc>
        <w:tc>
          <w:tcPr>
            <w:tcW w:type="dxa" w:w="3552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20"/>
              </w:rPr>
              <w:t>Modularidade</w:t>
            </w:r>
            <w:r>
              <w:rPr>
                <w:sz w:val="16"/>
              </w:rPr>
              <w:br/>
              <w:t>Todo componente deve funcionar sozinho e em composições maiores.</w:t>
            </w:r>
          </w:p>
        </w:tc>
      </w:tr>
      <w:tr>
        <w:tc>
          <w:tcPr>
            <w:tcW w:type="dxa" w:w="3552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20"/>
              </w:rPr>
              <w:t>Consistência</w:t>
            </w:r>
            <w:r>
              <w:rPr>
                <w:sz w:val="16"/>
              </w:rPr>
              <w:br/>
              <w:t>Estados, cores, espaçamentos e comportamento seguem os mesmos tokens.</w:t>
            </w:r>
          </w:p>
        </w:tc>
        <w:tc>
          <w:tcPr>
            <w:tcW w:type="dxa" w:w="3552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20"/>
              </w:rPr>
              <w:t>Acessibilidade</w:t>
            </w:r>
            <w:r>
              <w:rPr>
                <w:sz w:val="16"/>
              </w:rPr>
              <w:br/>
              <w:t>Contraste, foco, semântica e leitura por teclado são requisitos básicos.</w:t>
            </w:r>
          </w:p>
        </w:tc>
        <w:tc>
          <w:tcPr>
            <w:tcW w:type="dxa" w:w="3552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20"/>
              </w:rPr>
              <w:t>Ação</w:t>
            </w:r>
            <w:r>
              <w:rPr>
                <w:sz w:val="16"/>
              </w:rPr>
              <w:br/>
              <w:t>O dashboard deve orientar decisões, não apenas exibir dados.</w:t>
            </w:r>
          </w:p>
        </w:tc>
      </w:tr>
    </w:tbl>
    <w:p>
      <w:pPr>
        <w:pStyle w:val="Heading1"/>
      </w:pPr>
      <w:r>
        <w:t>3. Arquitetura da biblioteca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081C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552"/>
            <w:shd w:fill="081C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552"/>
            <w:shd w:fill="081C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Escopo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0057FF"/>
                <w:sz w:val="18"/>
              </w:rPr>
              <w:t>01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8"/>
              </w:rPr>
              <w:t>Fundamentos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  <w:t>Grid, espaçamentos, tipografia, cores, elevação e estados.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0057FF"/>
                <w:sz w:val="18"/>
              </w:rPr>
              <w:t>02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8"/>
              </w:rPr>
              <w:t>Visualização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  <w:t>KPIs, gráficos, tabelas, mapas, heatmaps e gauges.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0057FF"/>
                <w:sz w:val="18"/>
              </w:rPr>
              <w:t>03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8"/>
              </w:rPr>
              <w:t>Navegação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  <w:t>Filtros, abas, breadcrumbs, seletores de período e drill-down.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0057FF"/>
                <w:sz w:val="18"/>
              </w:rPr>
              <w:t>04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8"/>
              </w:rPr>
              <w:t>Feedback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  <w:t>Alertas, toasts, badges, estados vazios, erros e carregamento.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0057FF"/>
                <w:sz w:val="18"/>
              </w:rPr>
              <w:t>05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8"/>
              </w:rPr>
              <w:t>Ação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  <w:t>Menus, botões, quick actions, aprovações, comentários e exportação.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0057FF"/>
                <w:sz w:val="18"/>
              </w:rPr>
              <w:t>06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8"/>
              </w:rPr>
              <w:t>Composição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  <w:t>Layouts executivos, operacionais, estratégicos e workforce.</w:t>
            </w:r>
          </w:p>
        </w:tc>
      </w:tr>
    </w:tbl>
    <w:p>
      <w:pPr>
        <w:pStyle w:val="Heading1"/>
      </w:pPr>
      <w:r>
        <w:t>4. Grid e composição</w:t>
      </w:r>
    </w:p>
    <w:p>
      <w:pPr>
        <w:pStyle w:val="ListBullet"/>
        <w:spacing w:after="60"/>
      </w:pPr>
      <w:r>
        <w:t>Desktop: 12 colunas, gutter de 24 px e margem mínima de 32 px.</w:t>
      </w:r>
    </w:p>
    <w:p>
      <w:pPr>
        <w:pStyle w:val="ListBullet"/>
        <w:spacing w:after="60"/>
      </w:pPr>
      <w:r>
        <w:t>Tablet: 8 colunas, gutter de 20 px e margem mínima de 24 px.</w:t>
      </w:r>
    </w:p>
    <w:p>
      <w:pPr>
        <w:pStyle w:val="ListBullet"/>
        <w:spacing w:after="60"/>
      </w:pPr>
      <w:r>
        <w:t>Mobile: 4 colunas, gutter de 16 px e margem mínima de 16 px.</w:t>
      </w:r>
    </w:p>
    <w:p>
      <w:pPr>
        <w:pStyle w:val="ListBullet"/>
        <w:spacing w:after="60"/>
      </w:pPr>
      <w:r>
        <w:t>Altura base dos cards: múltiplos de 8 px. Raio padrão: 12 px.</w:t>
      </w:r>
    </w:p>
    <w:p>
      <w:pPr>
        <w:pStyle w:val="ListBullet"/>
        <w:spacing w:after="60"/>
      </w:pPr>
      <w:r>
        <w:t>Densidade: confortável por padrão; compacta apenas em tabelas operacionais.</w:t>
      </w:r>
    </w:p>
    <w:p>
      <w:pPr>
        <w:pStyle w:val="Heading1"/>
      </w:pPr>
      <w:r>
        <w:t>5. Componentes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081C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552"/>
            <w:shd w:fill="081C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3552"/>
            <w:shd w:fill="081C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Estados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KPI Card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Valor principal, variação, contexto, status e período.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5B6573"/>
                <w:sz w:val="16"/>
              </w:rPr>
              <w:t>Default, Hover, Selected, Warning, Critical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Trend Card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Série temporal compacta com comparação e meta.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5B6573"/>
                <w:sz w:val="16"/>
              </w:rPr>
              <w:t>Positive, Neutral, Negative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Chart Card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Container padronizado para linhas, barras, área, donut e radar.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5B6573"/>
                <w:sz w:val="16"/>
              </w:rPr>
              <w:t>Loading, Empty, Error, Expanded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Smart Table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Tabela com ordenação, filtros, agrupamento, seleção e exportação.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5B6573"/>
                <w:sz w:val="16"/>
              </w:rPr>
              <w:t>Default, Dense, Editable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Alert Center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Fila de alertas priorizados por impacto e urgência.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5B6573"/>
                <w:sz w:val="16"/>
              </w:rPr>
              <w:t>Info, Warning, Critical, Resolved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Timeline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Eventos, marcos, incidentes, projetos ou revisões estratégicas.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5B6573"/>
                <w:sz w:val="16"/>
              </w:rPr>
              <w:t>Past, Current, Future, Delayed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Heatmap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Intensidade por hora, equipe, sistema, região ou período.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5B6573"/>
                <w:sz w:val="16"/>
              </w:rPr>
              <w:t>Sequential, Diverging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Gauge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Progresso contra meta ou limite operacional.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5B6573"/>
                <w:sz w:val="16"/>
              </w:rPr>
              <w:t>Healthy, Attention, Critical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Map Widget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Distribuição geográfica com clusters e filtros.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5B6573"/>
                <w:sz w:val="16"/>
              </w:rPr>
              <w:t>Default, Focused, Drill-down</w:t>
            </w:r>
          </w:p>
        </w:tc>
      </w:tr>
    </w:tbl>
    <w:p>
      <w:pPr>
        <w:pStyle w:val="Heading1"/>
      </w:pPr>
      <w:r>
        <w:t>6. Padrões por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081C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3552"/>
            <w:shd w:fill="081C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Linguagem</w:t>
            </w:r>
          </w:p>
        </w:tc>
        <w:tc>
          <w:tcPr>
            <w:tcW w:type="dxa" w:w="3552"/>
            <w:shd w:fill="081C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Componentes prioritários</w:t>
            </w:r>
          </w:p>
        </w:tc>
      </w:tr>
      <w:tr>
        <w:tc>
          <w:tcPr>
            <w:tcW w:type="dxa" w:w="3552"/>
            <w:shd w:fill="0057F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Humanati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Visão executiva corporativa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Resumo executivo, riscos, tendências, portfólio e desempenho global.</w:t>
            </w:r>
          </w:p>
        </w:tc>
      </w:tr>
      <w:tr>
        <w:tc>
          <w:tcPr>
            <w:tcW w:type="dxa" w:w="3552"/>
            <w:shd w:fill="00D2F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MoniHook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Inteligência operacional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Disponibilidade, incidentes, integrações, capacidade, alertas e performance.</w:t>
            </w:r>
          </w:p>
        </w:tc>
      </w:tr>
      <w:tr>
        <w:tc>
          <w:tcPr>
            <w:tcW w:type="dxa" w:w="3552"/>
            <w:shd w:fill="6A3DF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VANE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Planejamento estratégico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Objetivos, OKRs, iniciativas, projetos, roadmap, cenários, riscos e revisões.</w:t>
            </w:r>
          </w:p>
        </w:tc>
      </w:tr>
      <w:tr>
        <w:tc>
          <w:tcPr>
            <w:tcW w:type="dxa" w:w="3552"/>
            <w:shd w:fill="00C87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WIC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color w:val="18202B"/>
                <w:sz w:val="16"/>
              </w:rPr>
              <w:t>Workforce intelligence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color w:val="18202B"/>
                <w:sz w:val="16"/>
              </w:rPr>
              <w:t>Dimensionamento, escalas, cobertura, produtividade, horas extras e capacidade.</w:t>
            </w:r>
          </w:p>
        </w:tc>
      </w:tr>
    </w:tbl>
    <w:p>
      <w:pPr>
        <w:pStyle w:val="Heading1"/>
      </w:pPr>
      <w:r>
        <w:t>7. Regras de visualização de dados</w:t>
      </w:r>
    </w:p>
    <w:p>
      <w:pPr>
        <w:pStyle w:val="ListBullet"/>
        <w:spacing w:after="60"/>
      </w:pPr>
      <w:r>
        <w:t>Usar cor para significado, nunca apenas decoração.</w:t>
      </w:r>
    </w:p>
    <w:p>
      <w:pPr>
        <w:pStyle w:val="ListBullet"/>
        <w:spacing w:after="60"/>
      </w:pPr>
      <w:r>
        <w:t>Limitar gráficos simultâneos e evitar legendas desnecessárias.</w:t>
      </w:r>
    </w:p>
    <w:p>
      <w:pPr>
        <w:pStyle w:val="ListBullet"/>
        <w:spacing w:after="60"/>
      </w:pPr>
      <w:r>
        <w:t>Manter escalas consistentes em comparações.</w:t>
      </w:r>
    </w:p>
    <w:p>
      <w:pPr>
        <w:pStyle w:val="ListBullet"/>
        <w:spacing w:after="60"/>
      </w:pPr>
      <w:r>
        <w:t>Exibir unidades, período e fonte do dado quando relevante.</w:t>
      </w:r>
    </w:p>
    <w:p>
      <w:pPr>
        <w:pStyle w:val="ListBullet"/>
        <w:spacing w:after="60"/>
      </w:pPr>
      <w:r>
        <w:t>Não utilizar gráficos 3D em interfaces de produto.</w:t>
      </w:r>
    </w:p>
    <w:p>
      <w:pPr>
        <w:pStyle w:val="ListBullet"/>
        <w:spacing w:after="60"/>
      </w:pPr>
      <w:r>
        <w:t>Priorizar labels diretos e tooltips claros.</w:t>
      </w:r>
    </w:p>
    <w:p>
      <w:pPr>
        <w:pStyle w:val="ListBullet"/>
        <w:spacing w:after="60"/>
      </w:pPr>
      <w:r>
        <w:t>Oferecer tabela alternativa quando o gráfico representar dados críticos.</w:t>
      </w:r>
    </w:p>
    <w:p>
      <w:pPr>
        <w:pStyle w:val="Heading1"/>
      </w:pPr>
      <w:r>
        <w:t>8. Estados obrigatórios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18"/>
              </w:rPr>
              <w:t>Default</w:t>
            </w:r>
            <w:r>
              <w:rPr>
                <w:sz w:val="16"/>
              </w:rPr>
              <w:br/>
              <w:t>Dados disponíveis</w:t>
            </w:r>
          </w:p>
        </w:tc>
        <w:tc>
          <w:tcPr>
            <w:tcW w:type="dxa" w:w="2664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18"/>
              </w:rPr>
              <w:t>Loading</w:t>
            </w:r>
            <w:r>
              <w:rPr>
                <w:sz w:val="16"/>
              </w:rPr>
              <w:br/>
              <w:t>Skeleton, sem saltos de layout</w:t>
            </w:r>
          </w:p>
        </w:tc>
        <w:tc>
          <w:tcPr>
            <w:tcW w:type="dxa" w:w="2664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18"/>
              </w:rPr>
              <w:t>Empty</w:t>
            </w:r>
            <w:r>
              <w:rPr>
                <w:sz w:val="16"/>
              </w:rPr>
              <w:br/>
              <w:t>Mensagem e próximo passo</w:t>
            </w:r>
          </w:p>
        </w:tc>
        <w:tc>
          <w:tcPr>
            <w:tcW w:type="dxa" w:w="2664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18"/>
              </w:rPr>
              <w:t>Error</w:t>
            </w:r>
            <w:r>
              <w:rPr>
                <w:sz w:val="16"/>
              </w:rPr>
              <w:br/>
              <w:t>Descrição e recuperação</w:t>
            </w:r>
          </w:p>
        </w:tc>
      </w:tr>
      <w:tr>
        <w:tc>
          <w:tcPr>
            <w:tcW w:type="dxa" w:w="2664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18"/>
              </w:rPr>
              <w:t>No Access</w:t>
            </w:r>
            <w:r>
              <w:rPr>
                <w:sz w:val="16"/>
              </w:rPr>
              <w:br/>
              <w:t>Permissão necessária</w:t>
            </w:r>
          </w:p>
        </w:tc>
        <w:tc>
          <w:tcPr>
            <w:tcW w:type="dxa" w:w="2664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18"/>
              </w:rPr>
              <w:t>Stale</w:t>
            </w:r>
            <w:r>
              <w:rPr>
                <w:sz w:val="16"/>
              </w:rPr>
              <w:br/>
              <w:t>Dado desatualizado</w:t>
            </w:r>
          </w:p>
        </w:tc>
        <w:tc>
          <w:tcPr>
            <w:tcW w:type="dxa" w:w="2664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18"/>
              </w:rPr>
              <w:t>Offline</w:t>
            </w:r>
            <w:r>
              <w:rPr>
                <w:sz w:val="16"/>
              </w:rPr>
              <w:br/>
              <w:t>Sem conexão</w:t>
            </w:r>
          </w:p>
        </w:tc>
        <w:tc>
          <w:tcPr>
            <w:tcW w:type="dxa" w:w="2664"/>
            <w:shd w:fill="F4F7FB"/>
            <w:vAlign w:val="center"/>
          </w:tcPr>
          <w:p>
            <w:r/>
            <w:r>
              <w:rPr>
                <w:b w:val="0"/>
                <w:color w:val="18202B"/>
                <w:sz w:val="18"/>
              </w:rPr>
            </w:r>
            <w:r>
              <w:rPr>
                <w:b/>
                <w:color w:val="0057FF"/>
                <w:sz w:val="18"/>
              </w:rPr>
              <w:t>Success</w:t>
            </w:r>
            <w:r>
              <w:rPr>
                <w:sz w:val="16"/>
              </w:rPr>
              <w:br/>
              <w:t>Ação concluída</w:t>
            </w:r>
          </w:p>
        </w:tc>
      </w:tr>
    </w:tbl>
    <w:p>
      <w:pPr>
        <w:pStyle w:val="Heading1"/>
      </w:pPr>
      <w:r>
        <w:t>9. Nomenclatura técnica</w:t>
      </w:r>
    </w:p>
    <w:p>
      <w:r>
        <w:t>Padrão sugerido para design e código:</w:t>
      </w:r>
    </w:p>
    <w:p>
      <w:pPr>
        <w:pStyle w:val="IntenseQuote"/>
      </w:pPr>
      <w:r>
        <w:t>hds.&lt;categoria&gt;.&lt;componente&gt;.&lt;variante&gt;.&lt;estado&gt;</w:t>
        <w:br/>
      </w:r>
      <w:r>
        <w:t>Exemplo: hds.data.kpi-card.compact.warning</w:t>
      </w:r>
    </w:p>
    <w:p>
      <w:pPr>
        <w:pStyle w:val="Heading1"/>
      </w:pPr>
      <w:r>
        <w:t>10. Entregáveis da Sprint 14</w:t>
      </w:r>
    </w:p>
    <w:p>
      <w:pPr>
        <w:pStyle w:val="ListBullet"/>
        <w:spacing w:after="60"/>
      </w:pPr>
      <w:r>
        <w:t>Especificação de 120 componentes de dashboard.</w:t>
      </w:r>
    </w:p>
    <w:p>
      <w:pPr>
        <w:pStyle w:val="ListBullet"/>
        <w:spacing w:after="60"/>
      </w:pPr>
      <w:r>
        <w:t>Matriz de estados e variantes.</w:t>
      </w:r>
    </w:p>
    <w:p>
      <w:pPr>
        <w:pStyle w:val="ListBullet"/>
        <w:spacing w:after="60"/>
      </w:pPr>
      <w:r>
        <w:t>Layouts de referência para Humanati, MoniHook, VANE e WIC.</w:t>
      </w:r>
    </w:p>
    <w:p>
      <w:pPr>
        <w:pStyle w:val="ListBullet"/>
        <w:spacing w:after="60"/>
      </w:pPr>
      <w:r>
        <w:t>Tokens prontos para mapeamento em Figma, React e Flutter.</w:t>
      </w:r>
    </w:p>
    <w:p>
      <w:pPr>
        <w:pStyle w:val="ListBullet"/>
        <w:spacing w:after="60"/>
      </w:pPr>
      <w:r>
        <w:t>Biblioteca futura em SVG/PNG para demonstrações e marketing.</w:t>
      </w:r>
    </w:p>
    <w:p>
      <w:pPr>
        <w:pStyle w:val="ListBullet"/>
        <w:spacing w:after="60"/>
      </w:pPr>
      <w:r>
        <w:t>Checklist de acessibilidade e qualidade.</w:t>
      </w:r>
    </w:p>
    <w:p>
      <w:pPr>
        <w:pStyle w:val="Heading1"/>
      </w:pPr>
      <w:r>
        <w:t>11. Próxima Sprint</w:t>
      </w:r>
    </w:p>
    <w:p>
      <w:r>
        <w:t>HDS 015 - Motion System: princípios de animação, transições, microinterações, loaders, feedback e motion tokens para produtos e campanhas.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Humanati Design System • HDS 014 • Dashboard Component Library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1C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5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20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81C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