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1508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ati with Vibe Coding_20260801_091011_0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4748B"/>
          <w:sz w:val="26"/>
        </w:rPr>
        <w:t>HDS 015</w:t>
      </w:r>
    </w:p>
    <w:p>
      <w:pPr>
        <w:pStyle w:val="Title"/>
        <w:jc w:val="center"/>
      </w:pPr>
      <w:r>
        <w:t>Motion System</w:t>
      </w:r>
    </w:p>
    <w:p>
      <w:pPr>
        <w:jc w:val="center"/>
      </w:pPr>
      <w:r>
        <w:rPr>
          <w:i/>
          <w:color w:val="475569"/>
          <w:sz w:val="28"/>
        </w:rPr>
        <w:t>Movimento com propósito. Clareza em cada transição.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shd w:fill="081C36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94A3B8"/>
                <w:sz w:val="16"/>
              </w:rPr>
              <w:t>VERSÃO</w:t>
              <w:br/>
            </w:r>
            <w:r>
              <w:rPr>
                <w:b/>
                <w:color w:val="FFFFFF"/>
                <w:sz w:val="22"/>
              </w:rPr>
              <w:t>1.0</w:t>
            </w:r>
          </w:p>
        </w:tc>
        <w:tc>
          <w:tcPr>
            <w:tcW w:type="dxa" w:w="3024"/>
            <w:shd w:fill="081C36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94A3B8"/>
                <w:sz w:val="16"/>
              </w:rPr>
              <w:t>STATUS</w:t>
              <w:br/>
            </w:r>
            <w:r>
              <w:rPr>
                <w:b/>
                <w:color w:val="FFFFFF"/>
                <w:sz w:val="22"/>
              </w:rPr>
              <w:t>Fundação</w:t>
            </w:r>
          </w:p>
        </w:tc>
        <w:tc>
          <w:tcPr>
            <w:tcW w:type="dxa" w:w="3024"/>
            <w:shd w:fill="081C36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94A3B8"/>
                <w:sz w:val="16"/>
              </w:rPr>
              <w:t>APLICAÇÃO</w:t>
              <w:br/>
            </w:r>
            <w:r>
              <w:rPr>
                <w:b/>
                <w:color w:val="FFFFFF"/>
                <w:sz w:val="22"/>
              </w:rPr>
              <w:t>Produto e Marca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r>
        <w:t>Definir um sistema de movimento consistente para interfaces, campanhas, apresentações e produtos do ecossistema Humanati. O movimento deve explicar, orientar e reforçar hierarquia — nunca distrair.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057F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pStyle w:val="Callout"/>
              <w:jc w:val="center"/>
            </w:pPr>
            <w:r>
              <w:t>Regra-mãe: toda animação precisa responder a uma pergunta — “o que mudou, por que mudou e onde devo olhar agora?”</w:t>
            </w:r>
          </w:p>
        </w:tc>
      </w:tr>
    </w:tbl>
    <w:p>
      <w:pPr>
        <w:pStyle w:val="Heading1"/>
      </w:pPr>
      <w:r>
        <w:t>2. Princípios de movimento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81C36"/>
          </w:tcPr>
          <w:p>
            <w:r>
              <w:rPr>
                <w:color w:val="FFFFFF"/>
              </w:rPr>
              <w:t>Princípio</w:t>
            </w:r>
          </w:p>
        </w:tc>
        <w:tc>
          <w:tcPr>
            <w:tcW w:type="dxa" w:w="5112"/>
            <w:shd w:fill="081C36"/>
          </w:tcPr>
          <w:p>
            <w:r>
              <w:rPr>
                <w:color w:val="FFFFFF"/>
              </w:rPr>
              <w:t>Aplicação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Propósito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Movimento deve comunicar mudança de estado, prioridade ou continuidade.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Velocidade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Transições rápidas o suficiente para preservar fluxo, lentas o suficiente para serem compreendidas.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Consistência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Mesmos padrões de easing e duração em todo o ecossistema.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Sobriedade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Evitar efeitos lúdicos, elásticos ou exagerados em contextos executivos.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Acessibilidade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Respeitar preferências de redução de movimento e evitar flashes.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Performance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Priorizar transform e opacity; evitar animações custosas.</w:t>
            </w:r>
          </w:p>
        </w:tc>
      </w:tr>
    </w:tbl>
    <w:p>
      <w:pPr>
        <w:pStyle w:val="Heading1"/>
      </w:pPr>
      <w:r>
        <w:t>3. Tokens de duração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57FF"/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3408"/>
            <w:shd w:fill="0057FF"/>
          </w:tcPr>
          <w:p>
            <w:r>
              <w:rPr>
                <w:b/>
                <w:color w:val="FFFFFF"/>
              </w:rPr>
              <w:t>Duração</w:t>
            </w:r>
          </w:p>
        </w:tc>
        <w:tc>
          <w:tcPr>
            <w:tcW w:type="dxa" w:w="3408"/>
            <w:shd w:fill="0057FF"/>
          </w:tcPr>
          <w:p>
            <w:r>
              <w:rPr>
                <w:b/>
                <w:color w:val="FFFFFF"/>
              </w:rPr>
              <w:t>Uso recomendado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motion.instant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80 ms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Microfeedback imediato: hover, toggle e seleção.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motion.fast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140 ms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Menus, tooltips e mudanças simples.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motion.standard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220 ms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Cards, modais, tabs e navegação.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motion.emphasis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320 ms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Transições de destaque e conteúdo estratégico.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motion.slow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480 ms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Onboarding, storytelling e entradas de página.</w:t>
            </w:r>
          </w:p>
        </w:tc>
      </w:tr>
    </w:tbl>
    <w:p>
      <w:r>
        <w:br w:type="page"/>
      </w:r>
    </w:p>
    <w:p>
      <w:pPr>
        <w:pStyle w:val="Heading1"/>
      </w:pPr>
      <w:r>
        <w:t>4. Curvas de aceleração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81C36"/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3408"/>
            <w:shd w:fill="081C36"/>
          </w:tcPr>
          <w:p>
            <w:r>
              <w:rPr>
                <w:b/>
                <w:color w:val="FFFFFF"/>
              </w:rPr>
              <w:t>Curva</w:t>
            </w:r>
          </w:p>
        </w:tc>
        <w:tc>
          <w:tcPr>
            <w:tcW w:type="dxa" w:w="3408"/>
            <w:shd w:fill="081C36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408"/>
          </w:tcPr>
          <w:p>
            <w:r>
              <w:t>motion.ease.standard</w:t>
            </w:r>
          </w:p>
        </w:tc>
        <w:tc>
          <w:tcPr>
            <w:tcW w:type="dxa" w:w="3408"/>
          </w:tcPr>
          <w:p>
            <w:r>
              <w:t>cubic-bezier(0.2, 0, 0, 1)</w:t>
            </w:r>
          </w:p>
        </w:tc>
        <w:tc>
          <w:tcPr>
            <w:tcW w:type="dxa" w:w="3408"/>
          </w:tcPr>
          <w:p>
            <w:r>
              <w:t>Padrão geral.</w:t>
            </w:r>
          </w:p>
        </w:tc>
      </w:tr>
      <w:tr>
        <w:tc>
          <w:tcPr>
            <w:tcW w:type="dxa" w:w="3408"/>
          </w:tcPr>
          <w:p>
            <w:r>
              <w:t>motion.ease.enter</w:t>
            </w:r>
          </w:p>
        </w:tc>
        <w:tc>
          <w:tcPr>
            <w:tcW w:type="dxa" w:w="3408"/>
          </w:tcPr>
          <w:p>
            <w:r>
              <w:t>cubic-bezier(0, 0, 0.2, 1)</w:t>
            </w:r>
          </w:p>
        </w:tc>
        <w:tc>
          <w:tcPr>
            <w:tcW w:type="dxa" w:w="3408"/>
          </w:tcPr>
          <w:p>
            <w:r>
              <w:t>Entrada de elementos.</w:t>
            </w:r>
          </w:p>
        </w:tc>
      </w:tr>
      <w:tr>
        <w:tc>
          <w:tcPr>
            <w:tcW w:type="dxa" w:w="3408"/>
          </w:tcPr>
          <w:p>
            <w:r>
              <w:t>motion.ease.exit</w:t>
            </w:r>
          </w:p>
        </w:tc>
        <w:tc>
          <w:tcPr>
            <w:tcW w:type="dxa" w:w="3408"/>
          </w:tcPr>
          <w:p>
            <w:r>
              <w:t>cubic-bezier(0.4, 0, 1, 1)</w:t>
            </w:r>
          </w:p>
        </w:tc>
        <w:tc>
          <w:tcPr>
            <w:tcW w:type="dxa" w:w="3408"/>
          </w:tcPr>
          <w:p>
            <w:r>
              <w:t>Saída de elementos.</w:t>
            </w:r>
          </w:p>
        </w:tc>
      </w:tr>
      <w:tr>
        <w:tc>
          <w:tcPr>
            <w:tcW w:type="dxa" w:w="3408"/>
          </w:tcPr>
          <w:p>
            <w:r>
              <w:t>motion.ease.emphasis</w:t>
            </w:r>
          </w:p>
        </w:tc>
        <w:tc>
          <w:tcPr>
            <w:tcW w:type="dxa" w:w="3408"/>
          </w:tcPr>
          <w:p>
            <w:r>
              <w:t>cubic-bezier(0.2, 0.8, 0.2, 1)</w:t>
            </w:r>
          </w:p>
        </w:tc>
        <w:tc>
          <w:tcPr>
            <w:tcW w:type="dxa" w:w="3408"/>
          </w:tcPr>
          <w:p>
            <w:r>
              <w:t>Destaques e storytelling.</w:t>
            </w:r>
          </w:p>
        </w:tc>
      </w:tr>
    </w:tbl>
    <w:p>
      <w:pPr>
        <w:pStyle w:val="Heading1"/>
      </w:pPr>
      <w:r>
        <w:t>5. Padrões de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57FF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3408"/>
            <w:shd w:fill="0057FF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3408"/>
            <w:shd w:fill="0057FF"/>
          </w:tcPr>
          <w:p>
            <w:r>
              <w:rPr>
                <w:b/>
                <w:color w:val="FFFFFF"/>
              </w:rPr>
              <w:t>Aplicação</w:t>
            </w:r>
          </w:p>
        </w:tc>
      </w:tr>
      <w:tr>
        <w:tc>
          <w:tcPr>
            <w:tcW w:type="dxa" w:w="3408"/>
          </w:tcPr>
          <w:p>
            <w:r>
              <w:t>Fade</w:t>
            </w:r>
          </w:p>
        </w:tc>
        <w:tc>
          <w:tcPr>
            <w:tcW w:type="dxa" w:w="3408"/>
          </w:tcPr>
          <w:p>
            <w:r>
              <w:t>Mudança de visibilidade sem deslocamento.</w:t>
            </w:r>
          </w:p>
        </w:tc>
        <w:tc>
          <w:tcPr>
            <w:tcW w:type="dxa" w:w="3408"/>
          </w:tcPr>
          <w:p>
            <w:r>
              <w:t>Tooltips, dados auxiliares, camadas.</w:t>
            </w:r>
          </w:p>
        </w:tc>
      </w:tr>
      <w:tr>
        <w:tc>
          <w:tcPr>
            <w:tcW w:type="dxa" w:w="3408"/>
          </w:tcPr>
          <w:p>
            <w:r>
              <w:t>Fade + Slide</w:t>
            </w:r>
          </w:p>
        </w:tc>
        <w:tc>
          <w:tcPr>
            <w:tcW w:type="dxa" w:w="3408"/>
          </w:tcPr>
          <w:p>
            <w:r>
              <w:t>Entrada direcional curta (8–16 px).</w:t>
            </w:r>
          </w:p>
        </w:tc>
        <w:tc>
          <w:tcPr>
            <w:tcW w:type="dxa" w:w="3408"/>
          </w:tcPr>
          <w:p>
            <w:r>
              <w:t>Cards, modais, painéis laterais.</w:t>
            </w:r>
          </w:p>
        </w:tc>
      </w:tr>
      <w:tr>
        <w:tc>
          <w:tcPr>
            <w:tcW w:type="dxa" w:w="3408"/>
          </w:tcPr>
          <w:p>
            <w:r>
              <w:t>Scale</w:t>
            </w:r>
          </w:p>
        </w:tc>
        <w:tc>
          <w:tcPr>
            <w:tcW w:type="dxa" w:w="3408"/>
          </w:tcPr>
          <w:p>
            <w:r>
              <w:t>Escala sutil entre 0,96 e 1,00.</w:t>
            </w:r>
          </w:p>
        </w:tc>
        <w:tc>
          <w:tcPr>
            <w:tcW w:type="dxa" w:w="3408"/>
          </w:tcPr>
          <w:p>
            <w:r>
              <w:t>Menus contextuais e confirmação.</w:t>
            </w:r>
          </w:p>
        </w:tc>
      </w:tr>
      <w:tr>
        <w:tc>
          <w:tcPr>
            <w:tcW w:type="dxa" w:w="3408"/>
          </w:tcPr>
          <w:p>
            <w:r>
              <w:t>Shared Axis</w:t>
            </w:r>
          </w:p>
        </w:tc>
        <w:tc>
          <w:tcPr>
            <w:tcW w:type="dxa" w:w="3408"/>
          </w:tcPr>
          <w:p>
            <w:r>
              <w:t>Continuidade espacial entre etapas.</w:t>
            </w:r>
          </w:p>
        </w:tc>
        <w:tc>
          <w:tcPr>
            <w:tcW w:type="dxa" w:w="3408"/>
          </w:tcPr>
          <w:p>
            <w:r>
              <w:t>Wizards, filtros, navegação por níveis.</w:t>
            </w:r>
          </w:p>
        </w:tc>
      </w:tr>
      <w:tr>
        <w:tc>
          <w:tcPr>
            <w:tcW w:type="dxa" w:w="3408"/>
          </w:tcPr>
          <w:p>
            <w:r>
              <w:t>Container Transform</w:t>
            </w:r>
          </w:p>
        </w:tc>
        <w:tc>
          <w:tcPr>
            <w:tcW w:type="dxa" w:w="3408"/>
          </w:tcPr>
          <w:p>
            <w:r>
              <w:t>Um elemento expande para revelar detalhes.</w:t>
            </w:r>
          </w:p>
        </w:tc>
        <w:tc>
          <w:tcPr>
            <w:tcW w:type="dxa" w:w="3408"/>
          </w:tcPr>
          <w:p>
            <w:r>
              <w:t>Drill-down de KPI e detalhes de projetos.</w:t>
            </w:r>
          </w:p>
        </w:tc>
      </w:tr>
      <w:tr>
        <w:tc>
          <w:tcPr>
            <w:tcW w:type="dxa" w:w="3408"/>
          </w:tcPr>
          <w:p>
            <w:r>
              <w:t>Stagger</w:t>
            </w:r>
          </w:p>
        </w:tc>
        <w:tc>
          <w:tcPr>
            <w:tcW w:type="dxa" w:w="3408"/>
          </w:tcPr>
          <w:p>
            <w:r>
              <w:t>Entrada sequencial curta, máximo 40 ms entre itens.</w:t>
            </w:r>
          </w:p>
        </w:tc>
        <w:tc>
          <w:tcPr>
            <w:tcW w:type="dxa" w:w="3408"/>
          </w:tcPr>
          <w:p>
            <w:r>
              <w:t>Listas, cards e storytelling.</w:t>
            </w:r>
          </w:p>
        </w:tc>
      </w:tr>
    </w:tbl>
    <w:p>
      <w:pPr>
        <w:pStyle w:val="Heading1"/>
      </w:pPr>
      <w:r>
        <w:t>6. Linguagem por marca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81C36"/>
          </w:tcPr>
          <w:p>
            <w:r>
              <w:rPr>
                <w:b/>
                <w:color w:val="FFFFFF"/>
              </w:rPr>
              <w:t>Marca</w:t>
            </w:r>
          </w:p>
        </w:tc>
        <w:tc>
          <w:tcPr>
            <w:tcW w:type="dxa" w:w="3408"/>
            <w:shd w:fill="081C36"/>
          </w:tcPr>
          <w:p>
            <w:r>
              <w:rPr>
                <w:b/>
                <w:color w:val="FFFFFF"/>
              </w:rPr>
              <w:t>Comportamento</w:t>
            </w:r>
          </w:p>
        </w:tc>
        <w:tc>
          <w:tcPr>
            <w:tcW w:type="dxa" w:w="3408"/>
            <w:shd w:fill="081C36"/>
          </w:tcPr>
          <w:p>
            <w:r>
              <w:rPr>
                <w:b/>
                <w:color w:val="FFFFFF"/>
              </w:rPr>
              <w:t>Direção visual</w:t>
            </w:r>
          </w:p>
        </w:tc>
      </w:tr>
      <w:tr>
        <w:tc>
          <w:tcPr>
            <w:tcW w:type="dxa" w:w="3408"/>
          </w:tcPr>
          <w:p>
            <w:r>
              <w:t>Humanati</w:t>
            </w:r>
          </w:p>
        </w:tc>
        <w:tc>
          <w:tcPr>
            <w:tcW w:type="dxa" w:w="3408"/>
          </w:tcPr>
          <w:p>
            <w:r>
              <w:t>Movimentos amplos, calmos e institucionais.</w:t>
            </w:r>
          </w:p>
        </w:tc>
        <w:tc>
          <w:tcPr>
            <w:tcW w:type="dxa" w:w="3408"/>
          </w:tcPr>
          <w:p>
            <w:r>
              <w:t>Azul; transições suaves e elegantes.</w:t>
            </w:r>
          </w:p>
        </w:tc>
      </w:tr>
      <w:tr>
        <w:tc>
          <w:tcPr>
            <w:tcW w:type="dxa" w:w="3408"/>
          </w:tcPr>
          <w:p>
            <w:r>
              <w:t>MoniHook</w:t>
            </w:r>
          </w:p>
        </w:tc>
        <w:tc>
          <w:tcPr>
            <w:tcW w:type="dxa" w:w="3408"/>
          </w:tcPr>
          <w:p>
            <w:r>
              <w:t>Movimento orientado a eventos, alertas e fluxo operacional.</w:t>
            </w:r>
          </w:p>
        </w:tc>
        <w:tc>
          <w:tcPr>
            <w:tcW w:type="dxa" w:w="3408"/>
          </w:tcPr>
          <w:p>
            <w:r>
              <w:t>Azul/ciano; pulsos discretos e progressão linear.</w:t>
            </w:r>
          </w:p>
        </w:tc>
      </w:tr>
      <w:tr>
        <w:tc>
          <w:tcPr>
            <w:tcW w:type="dxa" w:w="3408"/>
          </w:tcPr>
          <w:p>
            <w:r>
              <w:t>VANE</w:t>
            </w:r>
          </w:p>
        </w:tc>
        <w:tc>
          <w:tcPr>
            <w:tcW w:type="dxa" w:w="3408"/>
          </w:tcPr>
          <w:p>
            <w:r>
              <w:t>Transições que reforçam sequência, planejamento e progresso.</w:t>
            </w:r>
          </w:p>
        </w:tc>
        <w:tc>
          <w:tcPr>
            <w:tcW w:type="dxa" w:w="3408"/>
          </w:tcPr>
          <w:p>
            <w:r>
              <w:t>Roxo escuro; timelines, roadmaps e cenários.</w:t>
            </w:r>
          </w:p>
        </w:tc>
      </w:tr>
      <w:tr>
        <w:tc>
          <w:tcPr>
            <w:tcW w:type="dxa" w:w="3408"/>
          </w:tcPr>
          <w:p>
            <w:r>
              <w:t>WIC</w:t>
            </w:r>
          </w:p>
        </w:tc>
        <w:tc>
          <w:tcPr>
            <w:tcW w:type="dxa" w:w="3408"/>
          </w:tcPr>
          <w:p>
            <w:r>
              <w:t>Movimentos que demonstram equilíbrio, distribuição e capacidade.</w:t>
            </w:r>
          </w:p>
        </w:tc>
        <w:tc>
          <w:tcPr>
            <w:tcW w:type="dxa" w:w="3408"/>
          </w:tcPr>
          <w:p>
            <w:r>
              <w:t>Verde; agrupamento, redistribuição e cobertura.</w:t>
            </w:r>
          </w:p>
        </w:tc>
      </w:tr>
    </w:tbl>
    <w:p>
      <w:pPr>
        <w:pStyle w:val="Heading1"/>
      </w:pPr>
      <w:r>
        <w:t>7. Estados e microinterações</w:t>
      </w:r>
    </w:p>
    <w:p>
      <w:pPr>
        <w:pStyle w:val="Heading2"/>
      </w:pPr>
      <w:r>
        <w:t>Botões</w:t>
      </w:r>
    </w:p>
    <w:p>
      <w:r>
        <w:t>Hover: leve elevação e variação de luminosidade. Pressed: escala 0,98. Loading: spinner discreto sem alterar largura.</w:t>
      </w:r>
    </w:p>
    <w:p>
      <w:pPr>
        <w:pStyle w:val="Heading2"/>
      </w:pPr>
      <w:r>
        <w:t>Cards</w:t>
      </w:r>
    </w:p>
    <w:p>
      <w:r>
        <w:t>Hover apenas quando clicáveis. Evitar flutuação excessiva. Expansão deve preservar origem visual.</w:t>
      </w:r>
    </w:p>
    <w:p>
      <w:pPr>
        <w:pStyle w:val="Heading2"/>
      </w:pPr>
      <w:r>
        <w:t>Alertas</w:t>
      </w:r>
    </w:p>
    <w:p>
      <w:r>
        <w:t>Entrada rápida, destaque cromático e saída após confirmação. Alertas críticos não devem desaparecer automaticamente.</w:t>
      </w:r>
    </w:p>
    <w:p>
      <w:pPr>
        <w:pStyle w:val="Heading2"/>
      </w:pPr>
      <w:r>
        <w:t>Gráficos</w:t>
      </w:r>
    </w:p>
    <w:p>
      <w:r>
        <w:t>Animar apenas a primeira entrada ou mudança significativa. Nunca reiniciar animações durante filtros simples.</w:t>
      </w:r>
    </w:p>
    <w:p>
      <w:pPr>
        <w:pStyle w:val="Heading2"/>
      </w:pPr>
      <w:r>
        <w:t>Navegação</w:t>
      </w:r>
    </w:p>
    <w:p>
      <w:r>
        <w:t>Manter orientação espacial entre páginas e níveis de profundidade.</w:t>
      </w:r>
    </w:p>
    <w:p>
      <w:pPr>
        <w:pStyle w:val="Heading2"/>
      </w:pPr>
      <w:r>
        <w:t>Skeletons</w:t>
      </w:r>
    </w:p>
    <w:p>
      <w:r>
        <w:t>Usar shimmer sutil, sem alto contraste ou velocidade excessiva.</w:t>
      </w:r>
    </w:p>
    <w:p>
      <w:pPr>
        <w:pStyle w:val="Heading1"/>
      </w:pPr>
      <w:r>
        <w:t>8. Acessibilidade e redução de movimento</w:t>
      </w:r>
    </w:p>
    <w:p>
      <w:r>
        <w:t>Quando “reduzir movimento” estiver ativo:</w:t>
      </w:r>
    </w:p>
    <w:p>
      <w:pPr>
        <w:pStyle w:val="ListBullet"/>
      </w:pPr>
      <w:r>
        <w:t>Remover parallax, loops e deslocamentos longos.</w:t>
      </w:r>
    </w:p>
    <w:p>
      <w:pPr>
        <w:pStyle w:val="ListBullet"/>
      </w:pPr>
      <w:r>
        <w:t>Substituir transições espaciais por fade curto.</w:t>
      </w:r>
    </w:p>
    <w:p>
      <w:pPr>
        <w:pStyle w:val="ListBullet"/>
      </w:pPr>
      <w:r>
        <w:t>Manter feedback de estado essencial.</w:t>
      </w:r>
    </w:p>
    <w:p>
      <w:pPr>
        <w:pStyle w:val="ListBullet"/>
      </w:pPr>
      <w:r>
        <w:t>Evitar flashes e alternâncias rápidas.</w:t>
      </w:r>
    </w:p>
    <w:p>
      <w:pPr>
        <w:pStyle w:val="ListBullet"/>
      </w:pPr>
      <w:r>
        <w:t>Garantir que nenhuma informação dependa apenas da animação.</w:t>
      </w:r>
    </w:p>
    <w:p>
      <w:pPr>
        <w:pStyle w:val="Heading1"/>
      </w:pPr>
      <w:r>
        <w:t>9. Especificação para desenvolvimento</w:t>
      </w:r>
    </w:p>
    <w:p>
      <w:r>
        <w:rPr>
          <w:rFonts w:ascii="Courier New" w:hAnsi="Courier New"/>
          <w:color w:val="081C36"/>
          <w:sz w:val="18"/>
        </w:rPr>
        <w:t>:root {</w:t>
        <w:br/>
        <w:t xml:space="preserve">  --motion-instant: 80ms;</w:t>
        <w:br/>
        <w:t xml:space="preserve">  --motion-fast: 140ms;</w:t>
        <w:br/>
        <w:t xml:space="preserve">  --motion-standard: 220ms;</w:t>
        <w:br/>
        <w:t xml:space="preserve">  --motion-emphasis: 320ms;</w:t>
        <w:br/>
        <w:t xml:space="preserve">  --motion-slow: 480ms;</w:t>
        <w:br/>
        <w:t xml:space="preserve">  --ease-standard: cubic-bezier(0.2, 0, 0, 1);</w:t>
        <w:br/>
        <w:t xml:space="preserve">  --ease-enter: cubic-bezier(0, 0, 0.2, 1);</w:t>
        <w:br/>
        <w:t xml:space="preserve">  --ease-exit: cubic-bezier(0.4, 0, 1, 1);</w:t>
        <w:br/>
        <w:t>}</w:t>
      </w:r>
    </w:p>
    <w:p>
      <w:pPr>
        <w:pStyle w:val="Heading1"/>
      </w:pPr>
      <w:r>
        <w:t>10. Entregáveis previstos</w:t>
      </w:r>
    </w:p>
    <w:p>
      <w:pPr>
        <w:pStyle w:val="ListBullet"/>
      </w:pPr>
      <w:r>
        <w:t>Motion tokens em JSON e CSS.</w:t>
      </w:r>
    </w:p>
    <w:p>
      <w:pPr>
        <w:pStyle w:val="ListBullet"/>
      </w:pPr>
      <w:r>
        <w:t>Guia de microinterações para UI.</w:t>
      </w:r>
    </w:p>
    <w:p>
      <w:pPr>
        <w:pStyle w:val="ListBullet"/>
      </w:pPr>
      <w:r>
        <w:t>Biblioteca Lottie para loaders, estados e transições.</w:t>
      </w:r>
    </w:p>
    <w:p>
      <w:pPr>
        <w:pStyle w:val="ListBullet"/>
      </w:pPr>
      <w:r>
        <w:t>Animações de logotipo para Humanati, MoniHook, VANE e WIC.</w:t>
      </w:r>
    </w:p>
    <w:p>
      <w:pPr>
        <w:pStyle w:val="ListBullet"/>
      </w:pPr>
      <w:r>
        <w:t>Templates de intro/outro para apresentações e vídeos.</w:t>
      </w:r>
    </w:p>
    <w:p>
      <w:pPr>
        <w:pStyle w:val="ListBullet"/>
      </w:pPr>
      <w:r>
        <w:t>Especificações para React, Flutter e Web.</w:t>
      </w:r>
    </w:p>
    <w:p>
      <w:pPr>
        <w:pStyle w:val="Heading1"/>
      </w:pPr>
      <w:r>
        <w:t>11. Próxima Sprint</w:t>
      </w:r>
    </w:p>
    <w:p>
      <w:r>
        <w:rPr>
          <w:b/>
          <w:color w:val="0057FF"/>
        </w:rPr>
        <w:t>HDS 016 — Presentation System</w:t>
      </w:r>
    </w:p>
    <w:p>
      <w:r>
        <w:t>Templates e padrões para apresentações institucionais, comerciais, executivas e de investidores.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64748B"/>
        <w:sz w:val="16"/>
      </w:rPr>
      <w:t>HUMANATI DESIGN SYSTEM  |  HDS 015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1C3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57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57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rial" w:hAnsi="Arial"/>
      <w:b/>
      <w:color w:val="FFFFF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HDS 015 - Motion System</dc:title>
  <dc:subject>Humanati Design System</dc:subject>
  <dc:creator>Humanati</dc:creator>
  <cp:keywords>Humanati, HDS, Motion System, Design System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