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017 - Marketing Campaign System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Padronizar todas as campanhas de marketing da Humanati e dos produtos MoniHook, VANE e WIC em um sistema único, reutilizável e escalável.</w:t>
      </w:r>
    </w:p>
    <w:p>
      <w:pPr>
        <w:pStyle w:val="Heading2"/>
      </w:pPr>
      <w:r>
        <w:t>Arquitetura das Campanhas</w:t>
      </w:r>
    </w:p>
    <w:p>
      <w:r>
        <w:t>Branding; Geração de Demanda; Lançamentos; Conteúdo Educacional; Cases; Eventos; Remarketing.</w:t>
      </w:r>
    </w:p>
    <w:p>
      <w:pPr>
        <w:pStyle w:val="Heading2"/>
      </w:pPr>
      <w:r>
        <w:t>Canais Oficiais</w:t>
      </w:r>
    </w:p>
    <w:p>
      <w:r>
        <w:t>Instagram, LinkedIn, YouTube, Blog, E-mail Marketing, Meta Ads, Google Ads, Landing Pages.</w:t>
      </w:r>
    </w:p>
    <w:p>
      <w:pPr>
        <w:pStyle w:val="Heading2"/>
      </w:pPr>
      <w:r>
        <w:t>Kit de Campanha</w:t>
      </w:r>
    </w:p>
    <w:p>
      <w:r>
        <w:t>Cada campanha deve conter: Post 1:1, Story 9:16, Banner LinkedIn, Hero para Landing Page, E-mail, Apresentação Comercial, Texto institucional, CTA, Hashtags e Prompt mestre.</w:t>
      </w:r>
    </w:p>
    <w:p>
      <w:pPr>
        <w:pStyle w:val="Heading2"/>
      </w:pPr>
      <w:r>
        <w:t>Calendário</w:t>
      </w:r>
    </w:p>
    <w:p>
      <w:r>
        <w:t>Segunda: Dor do mercado</w:t>
        <w:br/>
        <w:t>Terça: Insight</w:t>
        <w:br/>
        <w:t>Quarta: Produto</w:t>
        <w:br/>
        <w:t>Quinta: Caso de uso</w:t>
        <w:br/>
        <w:t>Sexta: Storytelling</w:t>
        <w:br/>
        <w:t>Sábado: Bastidores</w:t>
        <w:br/>
        <w:t>Domingo: Marca.</w:t>
      </w:r>
    </w:p>
    <w:p>
      <w:pPr>
        <w:pStyle w:val="Heading2"/>
      </w:pPr>
      <w:r>
        <w:t>Linguagem</w:t>
      </w:r>
    </w:p>
    <w:p>
      <w:r>
        <w:t>Executiva, objetiva, humana, baseada em dados. Evitar fiscalização, vigilância e excesso de termos técnicos.</w:t>
      </w:r>
    </w:p>
    <w:p>
      <w:pPr>
        <w:pStyle w:val="Heading2"/>
      </w:pPr>
      <w:r>
        <w:t>Templates</w:t>
      </w:r>
    </w:p>
    <w:p>
      <w:r>
        <w:t>Instagram, LinkedIn, Carrossel, Reels Cover, Google Display, Meta Ads, Landing Page, Whitepaper, E-book.</w:t>
      </w:r>
    </w:p>
    <w:p>
      <w:pPr>
        <w:pStyle w:val="Heading2"/>
      </w:pPr>
      <w:r>
        <w:t>KPIs</w:t>
      </w:r>
    </w:p>
    <w:p>
      <w:r>
        <w:t>Alcance, Impressões, CTR, Engajamento, Leads, MQL, SQL, CAC, LTV, ROI, MRR e ARR.</w:t>
      </w:r>
    </w:p>
    <w:p>
      <w:pPr>
        <w:pStyle w:val="Heading2"/>
      </w:pPr>
      <w:r>
        <w:t>Entregáveis</w:t>
      </w:r>
    </w:p>
    <w:p>
      <w:r>
        <w:t>Biblioteca de campanhas, templates editáveis, banco de legendas, CTAs, hashtags, prompts e identidade visual consistente.</w:t>
      </w:r>
    </w:p>
    <w:p>
      <w:pPr>
        <w:pStyle w:val="Heading2"/>
      </w:pPr>
      <w:r>
        <w:t>Roadmap HDS 018</w:t>
      </w:r>
    </w:p>
    <w:p>
      <w:r>
        <w:t>Sales Enablement System: propostas, playbooks, pitch decks, ROI calculator, cases, one-pages e biblioteca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