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019 - Website Design System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Definir a arquitetura, identidade visual e componentes do ecossistema web da Humanati, garantindo consistência entre o portal institucional, landing pages e aplicações.</w:t>
      </w:r>
    </w:p>
    <w:p>
      <w:pPr>
        <w:pStyle w:val="Heading2"/>
      </w:pPr>
      <w:r>
        <w:t>Arquitetura do Portal</w:t>
      </w:r>
    </w:p>
    <w:p>
      <w:r>
        <w:t>Home; Humanati; MoniHook; VANE; WIC; Soluções; Casos de Sucesso; Blog; Documentação; Parceiros; Contato; Área do Cliente.</w:t>
      </w:r>
    </w:p>
    <w:p>
      <w:pPr>
        <w:pStyle w:val="Heading2"/>
      </w:pPr>
      <w:r>
        <w:t>Landing Pages</w:t>
      </w:r>
    </w:p>
    <w:p>
      <w:r>
        <w:t>Cada produto terá uma landing page própria com Hero, Benefícios, Funcionalidades, Integrações, Prova Social, FAQ e CTA.</w:t>
      </w:r>
    </w:p>
    <w:p>
      <w:pPr>
        <w:pStyle w:val="Heading2"/>
      </w:pPr>
      <w:r>
        <w:t>Sistema de Componentes</w:t>
      </w:r>
    </w:p>
    <w:p>
      <w:r>
        <w:t>Header, Mega Menu, Hero, Cards, KPIs, Logos Cloud, Timeline, Tabs, FAQ, Formulários, CTA, Footer.</w:t>
      </w:r>
    </w:p>
    <w:p>
      <w:pPr>
        <w:pStyle w:val="Heading2"/>
      </w:pPr>
      <w:r>
        <w:t>SEO e Performance</w:t>
      </w:r>
    </w:p>
    <w:p>
      <w:r>
        <w:t>Core Web Vitals, Schema.org, URLs amigáveis, conteúdo orientado a intenção de busca, imagens otimizadas e acessibilidade WCAG.</w:t>
      </w:r>
    </w:p>
    <w:p>
      <w:pPr>
        <w:pStyle w:val="Heading2"/>
      </w:pPr>
      <w:r>
        <w:t>Tecnologia Recomendada</w:t>
      </w:r>
    </w:p>
    <w:p>
      <w:r>
        <w:t>Next.js, React, Tailwind CSS, TypeScript, CMS Headless, Analytics e Tag Manager.</w:t>
      </w:r>
    </w:p>
    <w:p>
      <w:pPr>
        <w:pStyle w:val="Heading2"/>
      </w:pPr>
      <w:r>
        <w:t>Conversão</w:t>
      </w:r>
    </w:p>
    <w:p>
      <w:r>
        <w:t>Formulários inteligentes, demonstração online, chatbot, materiais ricos, newsletter, provas sociais e CTAs persistentes.</w:t>
      </w:r>
    </w:p>
    <w:p>
      <w:pPr>
        <w:pStyle w:val="Heading2"/>
      </w:pPr>
      <w:r>
        <w:t>Biblioteca de Páginas</w:t>
      </w:r>
    </w:p>
    <w:p>
      <w:r>
        <w:t>Institucional, Produto, Blog, Case, Documentação, Eventos, Contato, Landing de Campanha.</w:t>
      </w:r>
    </w:p>
    <w:p>
      <w:pPr>
        <w:pStyle w:val="Heading2"/>
      </w:pPr>
      <w:r>
        <w:t>Entregáveis</w:t>
      </w:r>
    </w:p>
    <w:p>
      <w:r>
        <w:t>Wireframes, Design System Web, componentes reutilizáveis, templates de landing pages, arquitetura da informação e guia SEO.</w:t>
      </w:r>
    </w:p>
    <w:p>
      <w:pPr>
        <w:pStyle w:val="Heading2"/>
      </w:pPr>
      <w:r>
        <w:t>Roadmap HDS 020</w:t>
      </w:r>
    </w:p>
    <w:p>
      <w:r>
        <w:t>Product Design System: UX, jornadas, arquitetura de informação, componentes de produto, padrões de interação e especificação para desenvolvimento.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