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020 - Product Design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o padrão oficial de UX, UI e arquitetura de interação para todo o ecossistema Humanati.</w:t>
      </w:r>
    </w:p>
    <w:p>
      <w:pPr>
        <w:pStyle w:val="Heading2"/>
      </w:pPr>
      <w:r>
        <w:t>Princípios</w:t>
      </w:r>
    </w:p>
    <w:p>
      <w:r>
        <w:t>Simplicidade, consistência, acessibilidade, orientação por dados, performance e escalabilidade.</w:t>
      </w:r>
    </w:p>
    <w:p>
      <w:pPr>
        <w:pStyle w:val="Heading2"/>
      </w:pPr>
      <w:r>
        <w:t>Arquitetura de UX</w:t>
      </w:r>
    </w:p>
    <w:p>
      <w:r>
        <w:t>Personas, jornadas, arquitetura da informação, fluxos de navegação, onboarding e perfis de acesso.</w:t>
      </w:r>
    </w:p>
    <w:p>
      <w:pPr>
        <w:pStyle w:val="Heading2"/>
      </w:pPr>
      <w:r>
        <w:t>Padrões de Interface</w:t>
      </w:r>
    </w:p>
    <w:p>
      <w:r>
        <w:t>Grid 12 colunas, tema escuro padrão, UI Kit HDS, Design Tokens e componentes reutilizáveis.</w:t>
      </w:r>
    </w:p>
    <w:p>
      <w:pPr>
        <w:pStyle w:val="Heading2"/>
      </w:pPr>
      <w:r>
        <w:t>MoniHook</w:t>
      </w:r>
    </w:p>
    <w:p>
      <w:r>
        <w:t>Cockpit operacional com KPIs, alertas, integrações e visão executiva.</w:t>
      </w:r>
    </w:p>
    <w:p>
      <w:pPr>
        <w:pStyle w:val="Heading2"/>
      </w:pPr>
      <w:r>
        <w:t>VANE</w:t>
      </w:r>
    </w:p>
    <w:p>
      <w:r>
        <w:t>Planejamento estratégico com objetivos, iniciativas, OKRs, roadmap, riscos e acompanhamento da execução.</w:t>
      </w:r>
    </w:p>
    <w:p>
      <w:pPr>
        <w:pStyle w:val="Heading2"/>
      </w:pPr>
      <w:r>
        <w:t>WIC</w:t>
      </w:r>
    </w:p>
    <w:p>
      <w:r>
        <w:t>Gestão da força de trabalho com escalas, capacidade, produtividade, jornada e analytics.</w:t>
      </w:r>
    </w:p>
    <w:p>
      <w:pPr>
        <w:pStyle w:val="Heading2"/>
      </w:pPr>
      <w:r>
        <w:t>Componentes</w:t>
      </w:r>
    </w:p>
    <w:p>
      <w:r>
        <w:t>Dashboards, tabelas, formulários, gráficos, kanban, calendário, timeline, notificações e busca global.</w:t>
      </w:r>
    </w:p>
    <w:p>
      <w:pPr>
        <w:pStyle w:val="Heading2"/>
      </w:pPr>
      <w:r>
        <w:t>Desenvolvimento</w:t>
      </w:r>
    </w:p>
    <w:p>
      <w:r>
        <w:t>React, Next.js, Flutter, biblioteca SVG, tokens e versionamento.</w:t>
      </w:r>
    </w:p>
    <w:p>
      <w:pPr>
        <w:pStyle w:val="Heading2"/>
      </w:pPr>
      <w:r>
        <w:t>Acessibilidade</w:t>
      </w:r>
    </w:p>
    <w:p>
      <w:r>
        <w:t>WCAG AA, contraste, teclado, foco e leitores de tela.</w:t>
      </w:r>
    </w:p>
    <w:p>
      <w:pPr>
        <w:pStyle w:val="Heading2"/>
      </w:pPr>
      <w:r>
        <w:t>Entregáveis</w:t>
      </w:r>
    </w:p>
    <w:p>
      <w:r>
        <w:t>Wireframes, fluxos, biblioteca de telas, especificações funcionais e guia de implementação.</w:t>
      </w:r>
    </w:p>
    <w:p>
      <w:pPr>
        <w:pStyle w:val="Heading2"/>
      </w:pPr>
      <w:r>
        <w:t>Conclusão da Fase 1</w:t>
      </w:r>
    </w:p>
    <w:p>
      <w:r>
        <w:t>O HDS 020 encerra a primeira fase do Humanati Design System e prepara a construção dos ativos finais da Brand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