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Análise Técnica da Sprint 2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color w:val="444444"/>
          <w:sz w:val="24"/>
          <w:szCs w:val="24"/>
        </w:rPr>
        <w:t xml:space="preserve">Respostas às questões do documento do projeto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Projeto Integrador de Inteligência Artificial e Sistemas Inteligentes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João F. Guaresi e Laura P. Ricci</w:t>
      </w:r>
    </w:p>
    <w:p>
      <w:pPr>
        <w:pBdr>
          <w:bottom w:val="single" w:color="BFBFBF" w:sz="6" w:space="8"/>
        </w:pBdr>
        <w:spacing w:after="360"/>
        <w:jc w:val="center"/>
      </w:pPr>
      <w:r>
        <w:rPr>
          <w:rFonts w:ascii="Times New Roman" w:cs="Times New Roman" w:eastAsia="Times New Roman" w:hAnsi="Times New Roman"/>
          <w:color w:val="444444"/>
          <w:sz w:val="20"/>
          <w:szCs w:val="20"/>
        </w:rPr>
        <w:t xml:space="preserve">Universidade do Oeste de Santa Catarina — Curso de Engenharia de Computação</w:t>
      </w:r>
    </w:p>
    <w:p>
      <w:pPr>
        <w:spacing w:after="240" w:before="0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Todas as respostas a seguir são sustentadas pelos experimentos exp01 a exp06 do repositório do projeto, executados sobre o corpus data/amostra.txt (7.180 caracteres, correspondentes a 2.828 Token IDs com o tokenizador BPE do GPT-2, de 50.257 entradas).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1. Por que um LLM não pode trabalhar diretamente com o texto bruto?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Por duas razões, uma matemática e outra computacional. A razão matemática é a mais fundamental: uma rede neural é uma composição de funções diferenciáveis — produtos de matrizes, somas e não linearidades — cujos parâmetros são ajustados por descida de gradiente. Todas essas operações estão definidas sobre tensores de números reais. O texto bruto, porém, é uma sequência de símbolos: não existe soma de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“relógio”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com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“vitrine”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não existe produto de uma matriz por uma frase e não há noção de derivada em um domínio discreto e não ordenado. É preciso, antes de qualquer aprendizado, construir uma aplicação do domínio simbólico para o domínio contínuo — e é exatamente isso que o pipeline desta Sprint faz, em dois saltos: do texto para índices inteiros (tokenização e vocabulário) e dos índices para vetores reais ajustáveis (embeddings).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razão computacional diz respeito à forma dos dados. O treinamento ocorre sobre lotes de tensores retangulares, de dimensão fixa, enquanto textos têm comprimento arbitrário. A janela deslizante e o DataLoader resolvem esse descompasso, recortando o fluxo de tokens em amostras de comprimento fixo e empilhando-as em tensores de forma (batch_size, context_length).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Mesmo que fosse possível operar sobre unidades mais próximas do texto bruto, como caracteres ou bytes, o custo seria proibitivo. No experimento exp01, os 7.180 caracteres do corpus correspondem a apenas 2.828 Token IDs, ou seja, 2,54 caracteres por token. Como o custo do mecanismo de autoatenção cresce com o quadrado do comprimento da sequência, processar o mesmo texto caractere a caractere multiplicaria por aproximadamente 2,54² ≈ 6,4 o número de operações de atenção, além de obrigar o modelo a aprender a compor caracteres em palavras antes de aprender qualquer relação semântica. A tokenização, portanto, não é apenas conversão: é também compressão, e define a granularidade sobre a qual o modelo raciocina.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2. Qual é a função do vocabulário?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 vocabulário é o contrato entre o texto e o modelo: uma bijeção entre um conjunto finito de tokens e o intervalo de inteiros {0, 1, …, |V|−1}, implementada como um dicionário token → ID e seu inverso. Ele cumpre três funções. Primeiro,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fecha o domínio de entrada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o modelo só pode receber tokens que o vocabulário conheça. Segundo,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dimensiona as estruturas do modelo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o número de linhas da matriz de token embeddings é exatamente |V|, e o mesmo |V| define o número de saídas da camada final que produz os logits sobre o próximo token. Terceiro,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garante a reversibilidade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sem o vocabulário inverso, os Token IDs produzidos pelo modelo não poderiam ser reconvertidos em texto.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 experimento exp02 evidencia o custo de um vocabulário fechado construído por palavras. Sobre o corpus completo, 1.400 tokens produzem 572 tokens únicos, que somados aos dois tokens especiais resultam em 574 entradas. Ao variar a fração do corpus considerada, a razão entre vocabulário e tokens cai de 0,772 para 0,410 — tokens novos tornam-se cada vez mais raros —, mas o vocabulário nunca para de crescer, comportamento consistente com a lei de Heaps. Extrapolando: qualquer texto novo trará palavras inéditas.</w:t>
      </w:r>
    </w:p>
    <w:tbl>
      <w:tblPr>
        <w:tblW w:type="dxa" w:w="9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9A9A9A" w:sz="4"/>
          <w:insideV w:val="single" w:color="9A9A9A" w:sz="4"/>
        </w:tblBorders>
      </w:tblPr>
      <w:tblGrid>
        <w:gridCol w:w="2400"/>
        <w:gridCol w:w="2200"/>
        <w:gridCol w:w="2200"/>
        <w:gridCol w:w="2200"/>
      </w:tblGrid>
      <w:tr>
        <w:trPr>
          <w:tblHeader/>
        </w:trPr>
        <w:tc>
          <w:tcPr>
            <w:tcW w:type="dxa" w:w="24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Fração do corpus</w:t>
            </w:r>
          </w:p>
        </w:tc>
        <w:tc>
          <w:tcPr>
            <w:tcW w:type="dxa" w:w="22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Tokens</w:t>
            </w:r>
          </w:p>
        </w:tc>
        <w:tc>
          <w:tcPr>
            <w:tcW w:type="dxa" w:w="22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Vocabulário</w:t>
            </w:r>
          </w:p>
        </w:tc>
        <w:tc>
          <w:tcPr>
            <w:tcW w:type="dxa" w:w="22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Vocab./tokens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0,772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0,609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347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0,484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75%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1.055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479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0,454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1.400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574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0,410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Crescimento do vocabulário com o tamanho do corpus (exp02).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É essa constatação que justifica os tokens especiais e, mais adiante, o próprio BPE. O SimpleTokenizerV1 levanta uma exceção diante da palavra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helicóptero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ausente do corpus; o SimpleTokenizerV2 a substitui por &lt;|unk|&gt;, produzindo [50, 541, 164, 384, 573, 2], que decodifica como “O velho consertou o &lt;|unk|&gt;.”. O modelo deixa de falhar, mas a informação foi destruída: todas as palavras desconhecidas colapsam no mesmo identificador. Já o token &lt;|endoftext|&gt; cumpre função complementar, sinalizando a fronteira entre documentos independentes.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 BPE resolve o problema na raiz, construindo o vocabulário sobre subpalavras. Treinando a implementação didática sobre o próprio corpus (exp01), triplicar o vocabulário de 301 para 958 entradas reduziu o corpus de 4.874 para 2.010 tokens, elevando a compressão de 1,51 para 3,67 bytes por token. Esse é o compromisso central: um vocabulário maior encurta a sequência — o que é bom, porque a atenção custa T² — mas engorda a matriz de embeddings e a camada de saída, ambas proporcionais a |V|. O GPT-2 escolhe o ponto intermediário de 50.257 entradas (256 bytes, 50.000 fusões e o token &lt;|endoftext|&gt;); como todo byte está no vocabulário, o token &lt;|unk|&gt; torna-se desnecessário.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3. Qual é a diferença entre um token e um Token ID?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token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é uma unidade textual: uma cadeia de caracteres — palavra, subpalavra, sinal de pontuação ou marcador especial — resultante do recorte do texto. Pertence ao domínio linguístico e é legível. Um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Token ID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é um número inteiro: o índice da posição que aquele token ocupa no vocabulário. Pertence ao domínio numérico e é o objeto efetivamente manipulado pelo modelo. A relação entre os dois só existe mediada pelo vocabulário: Token ↔ Vocabulário ↔ Token ID.</w:t>
      </w:r>
    </w:p>
    <w:tbl>
      <w:tblPr>
        <w:tblW w:type="dxa" w:w="9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9A9A9A" w:sz="4"/>
          <w:insideV w:val="single" w:color="9A9A9A" w:sz="4"/>
        </w:tblBorders>
      </w:tblPr>
      <w:tblGrid>
        <w:gridCol w:w="1800"/>
        <w:gridCol w:w="1200"/>
        <w:gridCol w:w="1200"/>
        <w:gridCol w:w="1800"/>
        <w:gridCol w:w="1000"/>
        <w:gridCol w:w="1400"/>
        <w:gridCol w:w="600"/>
      </w:tblGrid>
      <w:tr>
        <w:trPr>
          <w:tblHeader/>
        </w:trPr>
        <w:tc>
          <w:tcPr>
            <w:tcW w:type="dxa" w:w="18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12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12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velho</w:t>
            </w:r>
          </w:p>
        </w:tc>
        <w:tc>
          <w:tcPr>
            <w:tcW w:type="dxa" w:w="18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consertou</w:t>
            </w:r>
          </w:p>
        </w:tc>
        <w:tc>
          <w:tcPr>
            <w:tcW w:type="dxa" w:w="10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</w:t>
            </w:r>
          </w:p>
        </w:tc>
        <w:tc>
          <w:tcPr>
            <w:tcW w:type="dxa" w:w="14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relógio</w:t>
            </w:r>
          </w:p>
        </w:tc>
        <w:tc>
          <w:tcPr>
            <w:tcW w:type="dxa" w:w="6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Token ID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541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384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461</w:t>
            </w:r>
          </w:p>
        </w:tc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Correspondência token ↔ Token ID para a frase “O velho consertou o relógio.” (exp02).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Três consequências decorrem dessa distinção. A primeira é que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o ID não tem significado fora do vocabulário que o gerou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o token “relógio” recebe o ID 461 no vocabulário construído sobre o corpus, enquanto no vocabulário do GPT-2 ele sequer existe como unidade, sendo codificado como [2411, 10205, 27769] — ‘rel’, ‘ó’ e ‘gio’. Um modelo treinado com um vocabulário não pode, portanto, ser alimentado com IDs produzidos por outro. A segunda é que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 relação não é um para um em nível de palavra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um token pode ser menor que uma palavra ou não corresponder a palavra alguma. A terceira é que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 atribuição dos IDs é arbitrária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na implementação, os tokens únicos são ordenados alfabeticamente e recebem índices sequenciais; qualquer outra ordenação seria igualmente válida e produziria um modelo equivalente após o treinamento.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4. Por que os Token IDs não são utilizados diretamente como representação semântica?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Porque um Token ID é um rótulo nominal disfarçado de número: ele identifica, mas não mede. Usá-lo como entrada numérica equivaleria a afirmar que a diferença 461 − 460 = 1 carrega informação sobre a relação entre os tokens correspondentes — e não carrega.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 dados do exp02 tornam o argumento concreto. No vocabulário construído sobre o corpus, os IDs vizinhos 460, 461 e 462 correspondem 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reflexo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relógio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relógios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O par 461–462 é semanticamente próximo, mas o par 460–461 é tão distante quanto quaisquer duas palavras da língua: a vizinhança decorre apenas da ordem alfabética. O mesmo se observa em 200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discretamente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) e 201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disponível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). Simetricamente, o token “tempo”, que mantém relação evidente com “relógio”, recebe o ID 513 — 52 posições adiante. Não há qualquer correlação entre proximidade numérica e proximidade semântica, e uma rede que recebesse esses inteiros teria de aprender uma função altamente irregular e sem estrutura explorável.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Somam-se três objeções técnicas.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escala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os IDs do GPT-2 vão de 0 a 50.256, e alimentar uma rede com valores dessa magnitude, sem significado métrico, prejudica o condicionamento numérico do treinamento.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dimensionalidade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um único escalar por token oferece apenas um grau de liberdade, ao passo que uma palavra participa simultaneamente de muitas dimensões de significado — classe gramatical, tempo verbal, campo semântico, registro. E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ausência de ordenação natural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o conjunto dos tokens não é ordenável de modo semanticamente coerente, e impor a ele a ordem total dos inteiros introduz uma estrutura falsa.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alternativa clássica seria a codificação one-hot, que elimina a ordenação espúria mas cria dois novos problemas: a dimensionalidade explode (50.257 valores por token, quase todos nulos) e todos os tokens tornam-se ortogonais e equidistantes, de modo que nenhuma similaridade pode ser expressa. Observa-se, contudo, que multiplicar um vetor one-hot por uma matriz de pesos equivale exatamente a selecionar uma linha dessa matriz — e essa constatação conduz diretamente aos embeddings.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5. Qual é a função dos embeddings?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camada de embedding associa a cada Token ID um vetor denso de dimensão d, ajustável durante o treinamento. Sua matriz tem forma (|V|, d): no exp05, com o vocabulário do GPT-2 e d = 8, a matriz tem forma (50257, 8), e o token de ID 2411 é mapeado no vetor [−1,2600; −0,6886; −0,7057; −0,0789; −0,1018; −1,7402; 1,5248; 1,0423].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operação é uma consulta a uma tabela (lookup): a linha de índice i é o embedding do token de ID i, sem multiplicação de matriz envolvida. Essa equivalência com a projeção de um vetor one-hot é o que torna a camada eficiente — o resultado é o mesmo, mas o custo passa de O(|V|·d) multiplicações para uma indexação em memória. Como efeito colateral relevante, o gradiente só flui para as linhas efetivamente usadas no lote, tornando a atualização esparsa.</w:t>
      </w:r>
    </w:p>
    <w:p>
      <w:pPr>
        <w:spacing w:after="120" w:before="0" w:line="268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Os embeddings cumprem quatro funções no modelo:</w:t>
      </w:r>
    </w:p>
    <w:p>
      <w:pPr>
        <w:spacing w:after="100" w:before="0" w:line="268"/>
        <w:ind w:left="340" w:hanging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Continuidade e diferenciabilidade.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 token deixa de ser um rótulo discreto e passa a ser um ponto em ℝᵈ, onde a descida de gradiente pode operar. É o salto que efetivamente conecta o texto ao aprendizado.</w:t>
      </w:r>
    </w:p>
    <w:p>
      <w:pPr>
        <w:spacing w:after="100" w:before="0" w:line="268"/>
        <w:ind w:left="340" w:hanging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Capacidade de representação distribuída.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Com d graus de liberdade por token, diferentes dimensões podem codificar diferentes atributos, e a informação fica distribuída por todo o vetor em vez de concentrada em um índice.</w:t>
      </w:r>
    </w:p>
    <w:p>
      <w:pPr>
        <w:spacing w:after="100" w:before="0" w:line="268"/>
        <w:ind w:left="340" w:hanging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Geometria de similaridade.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Distâncias e ângulos passam a ser bem definidos, de modo que tokens usados em contextos parecidos podem convergir para regiões próximas do espaço.</w:t>
      </w:r>
    </w:p>
    <w:p>
      <w:pPr>
        <w:spacing w:after="100" w:before="0" w:line="268"/>
        <w:ind w:left="340" w:hanging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Compartilhamento de aprendizado.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 que o modelo aprende sobre uma região do espaço se aplica a todos os tokens ali situados, o que melhora a generalização para tokens raros.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Cabe, porém, uma ressalva que o próprio experimento impõe: a camada de embedding não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contém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significado — ela apenas o torna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aprendível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 Medindo a similaridade de cosseno entre vetores de tokens na inicialização, antes de qualquer treinamento, obtêm-se valores próximos de zero mesmo para pares relacionados: 0,1001 entre “rei” e “rainha”, 0,1000 entre “gato” e “cão” e −0,0046 entre “gato” e “tempo”. Os vetores partem de uma distribuição aleatória e são, no início, quase ortogonais. A estrutura semântica é produto do treinamento sobre a tarefa de previsão do próximo token; o que a Sprint 2 entrega é a estrutura matemática capaz de hospedar esse significado.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6. Por que é necessário representar a posição dos tokens?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Porque o mecanismo de autoatenção é equivariante a permutações. Diferentemente de redes recorrentes, que processam a sequência elemento a elemento, e de redes convolucionais, cujos filtros têm extensão espacial definida, a atenção calcula uma soma ponderada sobre todas as posições simultaneamente: alterada a ordem dos vetores de entrada, a saída é reordenada de forma correspondente, mas seu conteúdo não muda. Sem informação posicional explícita, as frases “o cão mordeu o homem” e “o homem mordeu o cão” seriam, para o modelo, exatamente o mesmo conjunto de vetores — e a sintaxe, que é essencialmente ordem, tornar-se-ia invisível.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 exp05 demonstra o fenômeno de forma direta. Colocando o mesmo Token ID (2411) nas posições 0, 1 e 5 de uma sequência, o token embedding puro é rigorosamente idêntico nas três posições — as cinco primeiras componentes são [0,4183; 0,0025; −0,4857; 0,4195; −0,9622] em todos os casos, já que a consulta depende apenas do ID. Somando-se os positional embeddings, os vetores se diferenciam e as distâncias euclidianas entre as representações do mesmo token passam a ser estritamente positivas: 5,5603 entre as posições 0 e 1; 5,3075 entre as posições 0 e 5; e 5,6934 entre as posições 1 e 5. A posição passou a fazer parte da representação.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implementação adota positional embeddings absolutos e aprendidos, como no GPT: uma segunda matriz, de forma (context_length, d), indexada pela posição e não pelo Token ID. A entrada do modelo é a soma das duas contribuições, realizada por broadcast — no exp05, a matriz posicional de forma (4, 256) é somada ao tensor de token embeddings de forma (8, 4, 256).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Duas observações completam a resposta. A escolha da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soma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e não da concatenação, preserva a dimensão d e mantém inalterado o custo de todas as camadas seguintes; cabe ao treinamento organizar o espaço de modo que identidade e posição possam ser separadas dentro das mesmas d dimensões. E essa escolha impõe um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limite rígido de contexto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a matriz posicional tem exatamente context_length linhas, e sequências mais longas não têm representação — a implementação levanta explicitamente um erro nesse caso. O tamanho de contexto deixa de ser um mero hiperparâmetro de amostragem e passa a ser um parâmetro estrutural do modelo, com custo próprio: para d = 256 e contexto de 256 posições, a matriz posicional adiciona 65.536 parâmetros.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7. Qual é a relação entre tamanho do contexto e quantidade de amostras de treinamento?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As amostras são produzidas por uma janela deslizante sobre a sequência de Token IDs: para cada posição i, a entrada é o trecho de comprimento T e o alvo é o mesmo trecho deslocado de uma posição. O número de amostras obtidas de um corpus de N tokens, com contexto T e passo s, é n = ⌊(N − T − 1) / s⌋ + 1. A relação entre contexto e quantidade de amostras, portanto,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depende inteiramente do passo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tbl>
      <w:tblPr>
        <w:tblW w:type="dxa" w:w="9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9A9A9A" w:sz="4"/>
          <w:insideV w:val="single" w:color="9A9A9A" w:sz="4"/>
        </w:tblBorders>
      </w:tblPr>
      <w:tblGrid>
        <w:gridCol w:w="1500"/>
        <w:gridCol w:w="1900"/>
        <w:gridCol w:w="2100"/>
        <w:gridCol w:w="1900"/>
        <w:gridCol w:w="1600"/>
      </w:tblGrid>
      <w:tr>
        <w:trPr>
          <w:tblHeader/>
        </w:trPr>
        <w:tc>
          <w:tcPr>
            <w:tcW w:type="dxa" w:w="15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Contexto T</w:t>
            </w:r>
          </w:p>
        </w:tc>
        <w:tc>
          <w:tcPr>
            <w:tcW w:type="dxa" w:w="19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Amostras (s = 1)</w:t>
            </w:r>
          </w:p>
        </w:tc>
        <w:tc>
          <w:tcPr>
            <w:tcW w:type="dxa" w:w="21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Amostras (s = T/2)</w:t>
            </w:r>
          </w:p>
        </w:tc>
        <w:tc>
          <w:tcPr>
            <w:tcW w:type="dxa" w:w="19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Amostras (s = T)</w:t>
            </w:r>
          </w:p>
        </w:tc>
        <w:tc>
          <w:tcPr>
            <w:tcW w:type="dxa" w:w="16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Tokens vistos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2.826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2.826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1.413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2.826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2.824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1.412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2.824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2.820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705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353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2.824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2.812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352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176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2.816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2.796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2.816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2.764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2.816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2.700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2.816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2.572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2.816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Contexto, passo e quantidade de amostras para N = 2.828 tokens (exp03).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passo unitário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n ≈ N − T: a quantidade de amostras é praticamente independente do contexto, caindo apenas 9% (de 2.826 para 2.572) enquanto o contexto cresce 128 vezes. Com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passo igual ao contexto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n ≈ N/T: a quantidade é inversamente proporcional ao contexto, despencando de 1.413 para 11 na mesma faixa.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 ponto central, contudo, é que a contagem de amostras é uma métrica enganosa. Cada amostra de comprimento T contém T alvos — uma predição por posição —, de modo que o número total de sinais de supervisão é n·T, e não n. A última coluna da tabela confirma o argumento: com passo igual ao contexto, o total de tokens efetivamente vistos permanece praticamente constante, em torno de 2.816, qualquer que seja o contexto. Aumentar o contexto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não reduz a quantidade de supervisão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; apenas a reorganiza em amostras menos numerosas e individualmente mais ricas, nas quais cada predição dispõe de mais história para se apoiar. A pequena variação observada decorre dos tokens residuais descartados quando N não é múltiplo de T.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Reduzir o passo, por outro lado, aumenta a quantidade de amostras às custas de sobreposição. Com s = 1, o exp04 mostra que o segundo lote é o primeiro deslocado de uma posição: as entradas [46, 29749, 46, 41] e [29749, 46, 41, 27799] compartilham três dos quatro tokens. O mesmo texto é reapresentado ao modelo T vezes, em janelas quase idênticas, o que gera gradientes fortemente correlacionados e favorece a memorização — motivo pelo qual a referência recomenda s = T como padrão. O custo dessa redundância é mensurável: no exp06, a configuração de contexto 16 passa de 176 amostras e 44 lotes com s = 16 para 2.812 amostras e 703 lotes com s = 1, e o tempo de montagem do pipeline sobe de 78 ms para 167 ms.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Há ainda uma consequência prática que o corpus reduzido evidencia: com contexto de 256 tokens e passo equivalente, restam apenas 11 amostras. Contextos longos exigem corpora proporcionalmente maiores, sob pena de o conjunto de treinamento tornar-se pequeno demais para qualquer estimativa estatística confiável.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8. Qual é o impacto da dimensão do embedding sobre as estruturas utilizadas pelo modelo?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 dimensão d é o hiperparâmetro de maior alcance definido nesta Sprint, porque não afeta apenas a camada de entrada: propaga-se por toda a arquitetura. Seu impacto pode ser decomposto em três níveis.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primeiro nível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o das matrizes de embedding, o crescimento é linear. O número de parâmetros é |V|·d + T·d, e os valores medidos no exp05, com o vocabulário do GPT-2 e contexto de 256 posições, aparecem na tabela abaixo. Sair de 8 para 1.024 dimensões multiplica por 128 tanto o número de parâmetros quanto a memória ocupada, que passa de 1,53 MB para 196,32 MB em precisão de 32 bits. Note-se que a matriz de token embeddings domina completamente o custo: mesmo com contexto de 256 posições, os positional embeddings representam apenas 0,5% do total, porque T ≪ |V|.</w:t>
      </w:r>
    </w:p>
    <w:tbl>
      <w:tblPr>
        <w:tblW w:type="dxa" w:w="9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9A9A9A" w:sz="4"/>
          <w:insideV w:val="single" w:color="9A9A9A" w:sz="4"/>
        </w:tblBorders>
      </w:tblPr>
      <w:tblGrid>
        <w:gridCol w:w="900"/>
        <w:gridCol w:w="2000"/>
        <w:gridCol w:w="1800"/>
        <w:gridCol w:w="2100"/>
        <w:gridCol w:w="2200"/>
      </w:tblGrid>
      <w:tr>
        <w:trPr>
          <w:tblHeader/>
        </w:trPr>
        <w:tc>
          <w:tcPr>
            <w:tcW w:type="dxa" w:w="9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20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Token emb.</w:t>
            </w:r>
          </w:p>
        </w:tc>
        <w:tc>
          <w:tcPr>
            <w:tcW w:type="dxa" w:w="18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Pos. emb.</w:t>
            </w:r>
          </w:p>
        </w:tc>
        <w:tc>
          <w:tcPr>
            <w:tcW w:type="dxa" w:w="21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2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Memória (float32)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402.056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2.048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404.104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1,53 MB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3.216.448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16.384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3.232.832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12,27 MB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128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6.432.896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32.768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6.465.664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24,54 MB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256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12.865.792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65.536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12.931.328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49,08 MB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768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38.597.376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196.608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38.793.984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147,24 MB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1.024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51.463.168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262.144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51.725.312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196,32 MB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Dimensão do embedding, parâmetros e memória para |V| = 50.257 e T = 256 (exp05).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segundo nível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o das ativações, o efeito é igualmente linear, mas incide sobre cada passo de treinamento. O tensor produzido pelo pipeline tem forma (B, T, d) e, portanto, B·T·d valores: um lote de 8 sequências de 64 tokens ocupa 16 KB com d = 8 e 512 KB com d = 256. Como esse tensor é replicado ao longo de todas as camadas e as ativações intermediárias precisam ser retidas para o cálculo do gradiente, a dimensão multiplica o consumo de memória de treinamento por um fator igual ao número de tensores mantidos vivos.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terceiro nível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, o das camadas subsequentes, o crescimento deixa de ser linear. As matrizes Wq, Wk e Wv da atenção têm forma (d, d), assim como a projeção de saída, e as camadas feed-forward do GPT usam expansão interna de 4d, somando 8d² parâmetros por bloco. Ou seja: enquanto a tabela de embeddings cresce com d, o corpo do modelo cresce com d², e é ele que domina o custo em modelos profundos. A dimensão escolhida nesta Sprint é uma decisão que se paga repetidamente em cada camada da Sprint 3 em diante.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 efeito já é observável no pipeline atual. No exp06, mantidas fixas as demais configurações (contexto 16, passo 16, lote 4), obtiveram-se 3.217.472 parâmetros e 20 ms de execução com d = 64; 12.869.888 parâmetros e 76 ms com d = 256; e 38.609.664 parâmetros e 246 ms com d = 768 — a razão de aproximadamente 3 entre as dimensões reproduz-se tanto nos parâmetros quanto no tempo, confirmando a linearidade esperada nesta etapa. Como referência de escala, o GPT-2 small adota d = 768 e o GPT-3, d = 12.288. O compromisso é entre capacidade de representação e custo: dimensões pequenas forçam atributos distintos a compartilhar as mesmas direções do espaço; dimensões grandes ampliam a capacidade, mas aumentam parâmetros, memória, tempo de treinamento e risco de sobreajuste em corpora pequenos.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9. Qual é a função do DataLoader no pipeline?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 DataLoader é a fronteira entre a preparação dos dados e o laço de otimização: converte uma coleção de amostras individuais — os pares (entrada, alvo) produzidos pela janela deslizante — em um fluxo de lotes com forma fixa. Na implementação, o GPTDatasetV1 armazena e indexa as amostras, e o create_dataloader_v1 organiza a iteração. Cinco responsabilidades concretas aparecem nos experimentos.</w:t>
      </w:r>
    </w:p>
    <w:p>
      <w:pPr>
        <w:spacing w:after="100" w:before="0" w:line="268"/>
        <w:ind w:left="340" w:hanging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Formação de lotes.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Empilha amostras de forma (T,) em tensores de forma (B, T), tanto para entradas quanto para alvos — o exp04 confirma as formas (2, 4) para B = 2 e T = 4. É a estrutura retangular exigida pelas operações vetorizadas do PyTorch e o que permite processar várias sequências em paralelo.</w:t>
      </w:r>
    </w:p>
    <w:p>
      <w:pPr>
        <w:spacing w:after="100" w:before="0" w:line="268"/>
        <w:ind w:left="340" w:hanging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Controle do custo por passo.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 número de tokens processados simultaneamente é exatamente B·T, e é esse produto — e não B ou T isoladamente — que determina a memória exigida em cada iteração. No exp04, B = 4 com T = 64 e B = 16 com T = 16 processam ambas 256 tokens por lote, ainda que produzam números muito diferentes de lotes por época (11 e 176, respectivamente).</w:t>
      </w:r>
    </w:p>
    <w:p>
      <w:pPr>
        <w:spacing w:after="100" w:before="0" w:line="268"/>
        <w:ind w:left="340" w:hanging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Descorrelação das amostras.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As amostras da janela deslizante são fortemente correlacionadas em sua ordem natural, já que janelas consecutivas compartilham quase todos os tokens. O embaralhamento (shuffle=True) rompe essa correlação, de modo que cada lote seja uma estimativa menos enviesada do gradiente sobre o corpus.</w:t>
      </w:r>
    </w:p>
    <w:p>
      <w:pPr>
        <w:spacing w:after="100" w:before="0" w:line="268"/>
        <w:ind w:left="340" w:hanging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Uniformidade dos lotes.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 parâmetro drop_last descarta o último lote quando ele fica incompleto. No exp04, com 44 amostras e B = 16, obtêm-se dois lotes de 16 com drop_last=True e três lotes de tamanhos [16, 16, 12] com drop_last=False. Lotes menores produzem gradientes de variância maior e podem gerar oscilações na função de perda ao final de cada época.</w:t>
      </w:r>
    </w:p>
    <w:p>
      <w:pPr>
        <w:spacing w:after="100" w:before="0" w:line="268"/>
        <w:ind w:left="340" w:hanging="2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Desacoplamento e escalabilidade.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O modelo consome sempre a mesma interface — um iterador de pares de tensores — independentemente de o corpus estar em memória ou ser lido de disco, e num_workers permite delegar a preparação dos lotes a processos paralelos, sobrepondo a leitura dos dados ao cálculo na GPU.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10. Quais informações produzidas nesta Sprint serão utilizadas pelo mecanismo de atenção da Sprint seguinte?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 produto final desta Sprint é um único objeto: o tensor de input embeddings, de forma (B, T, d). No exp06, a configuração de referência do capítulo produziu a cadeia completa a partir de 7.180 caracteres: 2.828 Token IDs, 706 amostras (entrada, alvo), 88 lotes de 8 amostras, lotes de IDs de forma (8, 4) e, ao final, input embeddings de forma (8, 4, 256), com 12.866.816 parâmetros nas camadas de embedding. Esse tensor é exatamente a entrada esperada pelo mecanismo de autoatenção da Sprint 3.</w:t>
      </w:r>
    </w:p>
    <w:tbl>
      <w:tblPr>
        <w:tblW w:type="dxa" w:w="9000"/>
        <w:tblBorders>
          <w:top w:val="single" w:color="9A9A9A" w:sz="4"/>
          <w:left w:val="single" w:color="9A9A9A" w:sz="4"/>
          <w:bottom w:val="single" w:color="9A9A9A" w:sz="4"/>
          <w:right w:val="single" w:color="9A9A9A" w:sz="4"/>
          <w:insideH w:val="single" w:color="9A9A9A" w:sz="4"/>
          <w:insideV w:val="single" w:color="9A9A9A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Produzido agora</w:t>
            </w:r>
          </w:p>
        </w:tc>
        <w:tc>
          <w:tcPr>
            <w:tcW w:type="dxa" w:w="6400"/>
            <w:shd w:fill="EDEDE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Uso na atenção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Tensor (B, T, d)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Entrada direta do bloco de autoatenção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Dimensão d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Define d_in das matrizes Wq, Wk e Wv, que projetam queries, keys e values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Contexto 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Número de posições que podem atender umas às outras; define a matriz de pesos T × T e a máscara causal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Lote B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Sequências processadas em paralelo; dimensão preservada em todas as operações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Positional embeddings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Fonte da informação de ordem, sem a qual a atenção seria invariante a permutações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Alvos (B, T)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Rótulos da função de perda por entropia cruzada, no treinamento das sprints seguintes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Vocabulário |V|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Dimensão da projeção final que converte o vetor de saída em logits sobre o próximo token</w:t>
            </w:r>
          </w:p>
        </w:tc>
      </w:tr>
    </w:tbl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i/>
          <w:iCs/>
          <w:color w:val="444444"/>
          <w:sz w:val="18"/>
          <w:szCs w:val="18"/>
        </w:rPr>
        <w:t xml:space="preserve">Do produto da Sprint 2 ao uso na Sprint 3 (exp06).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Três aspectos merecem destaque na transição. O primeiro é que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dimensão d deixa de ser apenas um custo de armazenamento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e passa a dimensionar todas as projeções lineares da atenção, com o crescimento quadrático discutido na questão 8. O segundo é que o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contexto T passa a ter custo quadrático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a matriz de pontuações de atenção tem T² entradas por cabeça e por sequência, de modo que a escolha feita na amostragem se converte diretamente em custo de computação e memória. O terceiro é que a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estrutura dos alvos já antecipa o treinamento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: o deslocamento de uma posição entre entrada e alvo, combinado com a máscara causal que a Sprint 3 introduzirá, é o que permite supervisionar simultaneamente todas as T posições de uma amostra, sem que nenhuma observe o próprio futuro.</w:t>
      </w:r>
    </w:p>
    <w:p>
      <w:pPr>
        <w:spacing w:after="120" w:before="0" w:line="268"/>
        <w:ind w:firstLine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Em síntese, a Sprint 2 não produziu um modelo, mas o espaço no qual o modelo operará: uma representação contínua, diferenciável, sensível à ordem e organizada em lotes de forma fixa. A Sprint 3 assume esse espaço como dado e começa a construir, sobre ele, o mecanismo que permite a cada posição consultar as demais.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Técnica da Sprint 2 — Respostas às Questões</dc:title>
  <dc:creator>João F. Guaresi e Laura P. Ricci</dc:creator>
  <cp:lastModifiedBy>Un-named</cp:lastModifiedBy>
  <cp:revision>1</cp:revision>
  <dcterms:created xsi:type="dcterms:W3CDTF">2026-08-23T20:19:00.784Z</dcterms:created>
  <dcterms:modified xsi:type="dcterms:W3CDTF">2026-08-23T20:19:00.784Z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