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Relatório Técnico: Adequação Arquitetural e UI/UX de Sistemas Geradores de PPC ao Design System GOV.BR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Introdução ao Contexto Regulatório e Arquitetura de Sistemas Governamentais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modernização de ecossistemas digitais governamentais e acadêmicos exige a adoção estrita de padrões unificados que transcendem a mera estética, enraizando-se na acessibilidade, usabilidade e soberania da informação. No contexto do desenvolvimento e da refatoração de sistemas densos como um Gerador de Projeto Pedagógico de Curso (PPC), a adesão ao Padrão Digital do Governo Federal Brasileiro (Design System Gov.br) representa um marco de conformidade técnica obrigatória. Instrumentos regulatórios em avaliação, como os baseados na Portaria 39 (SGD/ME), indicam a obrigatoriedade de adequação de plataformas que compõem o escopo de serviços digitais, visando o reaproveitamento de componentes, a potencialização da produtividade e a garantia de uma experiência unificada para o cidadão e para os servidores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Um Gerador de PPC lida com uma arquitetura de informações complexa — ementas, cargas horárias, matrizes curriculares e bibliografias —, demandando que a carga cognitiva do usuário seja drasticamente minimizada por meio de uma interface previsível e rigorosamente testada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escolha de uma base tecnológica pautada em Tailwind CSS, HTML semântico e JavaScript puro (Vanilla JS) oferece uma oportunidade ímpar para a construção de um sistema de altíssima performance. Diferentemente de abordagens que dependem de pesados </w:t>
      </w:r>
      <w:r w:rsidDel="00000000" w:rsidR="00000000" w:rsidRPr="00000000">
        <w:rPr>
          <w:rFonts w:ascii="Google Sans" w:cs="Google Sans" w:eastAsia="Google Sans" w:hAnsi="Google Sans"/>
          <w:i w:val="1"/>
          <w:iCs w:val="1"/>
          <w:color w:val="1f1f1f"/>
          <w:rtl w:val="0"/>
        </w:rPr>
        <w:t xml:space="preserve">frameworks</w:t>
      </w:r>
      <w:r w:rsidDel="00000000" w:rsidR="00000000" w:rsidRPr="00000000">
        <w:rPr>
          <w:rFonts w:ascii="Google Sans" w:cs="Google Sans" w:eastAsia="Google Sans" w:hAnsi="Google Sans"/>
          <w:color w:val="1f1f1f"/>
          <w:rtl w:val="0"/>
        </w:rPr>
        <w:t xml:space="preserve"> reativos e bibliotecas de terceiros, o uso de Tailwind atua como uma ferramenta utilitária que permite o mapeamento exato dos </w:t>
      </w:r>
      <w:r w:rsidDel="00000000" w:rsidR="00000000" w:rsidRPr="00000000">
        <w:rPr>
          <w:rFonts w:ascii="Google Sans" w:cs="Google Sans" w:eastAsia="Google Sans" w:hAnsi="Google Sans"/>
          <w:i w:val="1"/>
          <w:iCs w:val="1"/>
          <w:color w:val="1f1f1f"/>
          <w:rtl w:val="0"/>
        </w:rPr>
        <w:t xml:space="preserve">design tokens</w:t>
      </w:r>
      <w:r w:rsidDel="00000000" w:rsidR="00000000" w:rsidRPr="00000000">
        <w:rPr>
          <w:rFonts w:ascii="Google Sans" w:cs="Google Sans" w:eastAsia="Google Sans" w:hAnsi="Google Sans"/>
          <w:color w:val="1f1f1f"/>
          <w:rtl w:val="0"/>
        </w:rPr>
        <w:t xml:space="preserve"> do Governo Federal, enquanto o HTML puro assegura que os contratos de acessibilidade do W3C (WCAG) sejam preservados em sua forma original. A análise aprofundada a seguir delineia as especificações arquiteturais, desde a tipografia basilar até o controle de estados complexos em formulários extensos, consolidando a matriz definitiva de requisitos para a chancela de Padrão Mínimo de Qualidade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Estratégia de Integração Tecnológica: Tailwind CSS e Componentes Base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ecossistema do Design System GOV.BR propõe múltiplas vias de integração, sendo a injeção do pacote central (</w:t>
      </w:r>
      <w:r w:rsidDel="00000000" w:rsidR="00000000" w:rsidRPr="00000000">
        <w:rPr>
          <w:rFonts w:ascii="Google Sans" w:cs="Google Sans" w:eastAsia="Google Sans" w:hAnsi="Google Sans"/>
          <w:i w:val="1"/>
          <w:iCs w:val="1"/>
          <w:color w:val="1f1f1f"/>
          <w:rtl w:val="0"/>
        </w:rPr>
        <w:t xml:space="preserve">core</w:t>
      </w:r>
      <w:r w:rsidDel="00000000" w:rsidR="00000000" w:rsidRPr="00000000">
        <w:rPr>
          <w:rFonts w:ascii="Google Sans" w:cs="Google Sans" w:eastAsia="Google Sans" w:hAnsi="Google Sans"/>
          <w:color w:val="1f1f1f"/>
          <w:rtl w:val="0"/>
        </w:rPr>
        <w:t xml:space="preserve">) a mais recomendada para arquiteturas desprovidas de abstrações como React ou Angular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base do projeto pressupõe a importação da folha de estilos principal, comumente instanciada via node_modules/@govbr-ds/core/dist/core.min.css ou por redes de distribuição de conteúdo (CDN), acompanhada das bibliotecas de iconografia requeridas, como o FontAwesome 5.11.2</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regra de ouro na estruturação do &lt;head&gt; do documento HTML é garantir que todas as dependências de fontes e ícones precedam o CSS governamental, prevenindo distorções no tempo de renderização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sinergia entre o código base do governo e o Tailwind CSS não deve ocorrer por meio de sobreposição destrutiva, mas sim através da extensão temática. O arquivo de configuração do Tailwind (tailwind.config.js) atua como a ponte canônica entre os dois mundos. O desenvolvedor estende a configuração nativa do Tailwind para espelhar as variáveis de ambiente (CSS Custom Properties) definidas no @govbr-ds/core. O sistema federal injeta variáveis na raiz (:root ou na classe abstrata .br-component), tais como --component-background, --color-primary-default, e --spacing-scale-base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Ao mapear esses valores diretamente na taxonomia do Tailwind, a equipe de engenharia viabiliza o uso de classes de conveniência (e.g., bg-gov-primary ou p-gov-base) sem quebrar a integridade do Design 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implementações de interatividade requerem a instanciação programática dos componentes nativos através de JavaScript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Elementos com comportamentos complexos, como os menus principais (.br-menu), painéis de mensagens (.br-message) e menus de seleção estruturados (.br-select), não operam exclusivamente com CSS. A rotina arquitetural padrão demanda varreduras periódicas ou baseadas em eventos de carregamento (DOMContentLoaded) utilizando document.querySelectorAll() para varrer o DOM e atrelar instâncias orientadas a objeto, como a classe abstrata core.BRSelect ou manipuladores de eventos assíncronos diretamente aos elementos interceptados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Visuais: Engenharia Tipográfica e Hierarquia da Informação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tipografia em sistemas acadêmicos e governamentais desempenha a função primária de legibilidade em condições subótimas de luminosidade ou acuidade visual. O Padrão Digital estabelece a família </w:t>
      </w:r>
      <w:r w:rsidDel="00000000" w:rsidR="00000000" w:rsidRPr="00000000">
        <w:rPr>
          <w:rFonts w:ascii="Google Sans" w:cs="Google Sans" w:eastAsia="Google Sans" w:hAnsi="Google Sans"/>
          <w:b w:val="1"/>
          <w:bCs w:val="1"/>
          <w:color w:val="1f1f1f"/>
          <w:rtl w:val="0"/>
        </w:rPr>
        <w:t xml:space="preserve">Rawline</w:t>
      </w:r>
      <w:r w:rsidDel="00000000" w:rsidR="00000000" w:rsidRPr="00000000">
        <w:rPr>
          <w:rFonts w:ascii="Google Sans" w:cs="Google Sans" w:eastAsia="Google Sans" w:hAnsi="Google Sans"/>
          <w:color w:val="1f1f1f"/>
          <w:rtl w:val="0"/>
        </w:rPr>
        <w:t xml:space="preserve"> como a fonte oficial e mandatória para o Governo Federal, projetada para manter excelente distinção de caracteres (como entre o 'I' maiúsculo e o 'l' minúsculo), um aspecto crítico ao exibir acrônimos ou códigos de disciplinas no PPC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 mapeamento tipográfico determina a declaração de @font-face garantindo a importação das faces regulares, itálicas e em diferentes espessuras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Como contingência (</w:t>
      </w:r>
      <w:r w:rsidDel="00000000" w:rsidR="00000000" w:rsidRPr="00000000">
        <w:rPr>
          <w:rFonts w:ascii="Google Sans" w:cs="Google Sans" w:eastAsia="Google Sans" w:hAnsi="Google Sans"/>
          <w:i w:val="1"/>
          <w:iCs w:val="1"/>
          <w:color w:val="1f1f1f"/>
          <w:rtl w:val="0"/>
        </w:rPr>
        <w:t xml:space="preserve">fallback</w:t>
      </w:r>
      <w:r w:rsidDel="00000000" w:rsidR="00000000" w:rsidRPr="00000000">
        <w:rPr>
          <w:rFonts w:ascii="Google Sans" w:cs="Google Sans" w:eastAsia="Google Sans" w:hAnsi="Google Sans"/>
          <w:color w:val="1f1f1f"/>
          <w:rtl w:val="0"/>
        </w:rPr>
        <w:t xml:space="preserve"> genérico), a fonte </w:t>
      </w:r>
      <w:r w:rsidDel="00000000" w:rsidR="00000000" w:rsidRPr="00000000">
        <w:rPr>
          <w:rFonts w:ascii="Google Sans" w:cs="Google Sans" w:eastAsia="Google Sans" w:hAnsi="Google Sans"/>
          <w:b w:val="1"/>
          <w:bCs w:val="1"/>
          <w:color w:val="1f1f1f"/>
          <w:rtl w:val="0"/>
        </w:rPr>
        <w:t xml:space="preserve">Raleway</w:t>
      </w:r>
      <w:r w:rsidDel="00000000" w:rsidR="00000000" w:rsidRPr="00000000">
        <w:rPr>
          <w:rFonts w:ascii="Google Sans" w:cs="Google Sans" w:eastAsia="Google Sans" w:hAnsi="Google Sans"/>
          <w:color w:val="1f1f1f"/>
          <w:rtl w:val="0"/>
        </w:rPr>
        <w:t xml:space="preserve"> compõe a pilha de processamento caso a fonte principal seja bloqueada por diretrizes de segurança da rede, assumindo a formação: --font-family-base: Rawline, Raleway, sans-serif</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escala de pesos visuais na tipografia governamental é finamente sintonizada para comunicar hierarquia. Textos corridos operam no peso base (400), enquanto identificadores de seções ou cabeçalhos de formulários invocam o peso --font-weight-extra-bold (equivalente ao 800 na escala CSS padrão)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Em uma interface densa de Gerador de PPC, a distinção entre o título de um bloco semântico (e.g., "Dados Pessoais do Corpo Docente") e o texto de ajuda associado depende crucialmente do emprego diligente dessa métrica, em substituição ao uso arbitrário de tamanhos excessivamente grandes de fonte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Engenharia de Cores: Semântica, Acessibilidade e Estados Transicionais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manipulação de cores em sistemas chancelados pelo Design System GOV.BR repudia o emprego meramente decorativo, estabelecendo um vocabulário semântico severo voltado à comunicação de ações, orientações espaciais e retornos de submissão (feedbacks). A observância desses preceitos confere conformidade aos níveis exigidos pelo Padrão Mínimo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identidade base estrutura-se no espectro do </w:t>
      </w:r>
      <w:r w:rsidDel="00000000" w:rsidR="00000000" w:rsidRPr="00000000">
        <w:rPr>
          <w:rFonts w:ascii="Google Sans" w:cs="Google Sans" w:eastAsia="Google Sans" w:hAnsi="Google Sans"/>
          <w:b w:val="1"/>
          <w:bCs w:val="1"/>
          <w:color w:val="1f1f1f"/>
          <w:rtl w:val="0"/>
        </w:rPr>
        <w:t xml:space="preserve">Azul Gov.BR</w:t>
      </w:r>
      <w:r w:rsidDel="00000000" w:rsidR="00000000" w:rsidRPr="00000000">
        <w:rPr>
          <w:rFonts w:ascii="Google Sans" w:cs="Google Sans" w:eastAsia="Google Sans" w:hAnsi="Google Sans"/>
          <w:color w:val="1f1f1f"/>
          <w:rtl w:val="0"/>
        </w:rPr>
        <w:t xml:space="preserve">, onde a âncora principal apresenta o código hexadecimal primário #071D41 (classificado como escurecido, ou --color-primary-darken-02)</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As transições de interface, focos em interações, e botões primários operam no tom principal --color-primary-default: #1351b4, assegurando altas taxas de contraste com fundos puros brancos ou em níveis de escala de cinza muito baixos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arquitetura projeta, outrossim, gamas pastéis (#c5d4eb) alocadas a superfícies de destaque ou estados interativos temporários (</w:t>
      </w:r>
      <w:r w:rsidDel="00000000" w:rsidR="00000000" w:rsidRPr="00000000">
        <w:rPr>
          <w:rFonts w:ascii="Google Sans" w:cs="Google Sans" w:eastAsia="Google Sans" w:hAnsi="Google Sans"/>
          <w:i w:val="1"/>
          <w:iCs w:val="1"/>
          <w:color w:val="1f1f1f"/>
          <w:rtl w:val="0"/>
        </w:rPr>
        <w:t xml:space="preserve">hover states</w:t>
      </w:r>
      <w:r w:rsidDel="00000000" w:rsidR="00000000" w:rsidRPr="00000000">
        <w:rPr>
          <w:rFonts w:ascii="Google Sans" w:cs="Google Sans" w:eastAsia="Google Sans" w:hAnsi="Google Sans"/>
          <w:color w:val="1f1f1f"/>
          <w:rtl w:val="0"/>
        </w:rPr>
        <w:t xml:space="preserve">) de componentes densos como tabelas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Gerador de PPC envolve fluxos contínuos de preenchimento, nos quais as cores de validação adquirem centralidade. Cores complementares sinalizam de forma autônoma o encerramento seguro ou falho da jornada. Tons derivados do verde ($green-600) representam sucesso, gradações de amarelo e laranja ($yellow-600, $orange-600) demandam alerta e cuidado no salvamento, ao passo que tons de vermelho vibrante ($red-600) explicitam falhas críticas, como a tentativa de protocolar um currículo acadêmico com carga horária inferior à diretriz do MEC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É imperativo arquitetural que, perante diretrizes estritas de acessibilidade, nenhuma variável de estado seja transmitida apenas pelo matiz. Qualquer indicação cromática de erro deve ser acompanhada obrigatoriamente de reforços iconográficos (e.g., vetor circular com a letra 'X') e descrições baseadas em texto com demarcações em ARIA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organização visual segmenta-se da seguinte forma, aplicável via mapeamento direto em utilitários de construção visual como Tailwind: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Categoria Semântica da Interface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Variável / Token Nativo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Referência Hexadecimal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Aplicação Sistemática Recomendada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Identidade Primária (Base)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--color-primary-darken-02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#071D41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Cabeçalhos compactos .br-header, limites de rodapés institucionais .br-footer, e textos de densidade alta.</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Ação e Foco (Default)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--color-primary-default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#1351B4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Fundos de ações nucleares (.br-button.primary), estados de seleção ativada, indicadores de etapas concluídas no Wizard.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Superfície Secundária e Containers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--color-primary-pastel-01 e Utilitários de Cinza (bg-gray-2)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#C5D4EB e variáveis nativas de cinza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Agrupamentos de dados dentro do formulário (ex: bloco "Informações Básicas"), garantindo delimitação sem criar ruído visual com bordas pesadas.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Alerta e Prevenção Analítica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--color-feedback-warning / $yellow-600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Específico do framework (ex: #F9BB00)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Mensagens que alertam para potenciais perdas de dados ou dados faltantes não bloqueantes (ex: "Ementa sugerida não preenchida").</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manipulação da apresentação de gráficos em painéis de gestão acadêmica exige cautela análoga. O sistema orienta desenvolvedores a não apoiarem lógicas comparativas em variações cromáticas randômicas. A representação de distribuições de horas-aula deve preferir famílias monocromáticas ou transições de degradê previsíveis, assegurando compreensão irrestrita a usuários diagnosticados com síndromes de dicromatismo (daltonismo)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Os símbolos complementares, os preenchimentos padronizados baseados em área, e a exibição de matrizes pontuais e de bolhas formam as diretrizes normativas para componentes visuais avançados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Arquitetura de Formulários para Alta Densidade de Dados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núcleo de engenharia de qualquer sistema gerador de documentos reside em sua malha de formulários. A adequação aos Padrões de Design de Formulário do GOV.BR dita as normas exatas de distanciamento, densidade topológica, posicionamento de títulos (</w:t>
      </w:r>
      <w:r w:rsidDel="00000000" w:rsidR="00000000" w:rsidRPr="00000000">
        <w:rPr>
          <w:rFonts w:ascii="Google Sans" w:cs="Google Sans" w:eastAsia="Google Sans" w:hAnsi="Google Sans"/>
          <w:i w:val="1"/>
          <w:iCs w:val="1"/>
          <w:color w:val="1f1f1f"/>
          <w:rtl w:val="0"/>
        </w:rPr>
        <w:t xml:space="preserve">labels</w:t>
      </w:r>
      <w:r w:rsidDel="00000000" w:rsidR="00000000" w:rsidRPr="00000000">
        <w:rPr>
          <w:rFonts w:ascii="Google Sans" w:cs="Google Sans" w:eastAsia="Google Sans" w:hAnsi="Google Sans"/>
          <w:color w:val="1f1f1f"/>
          <w:rtl w:val="0"/>
        </w:rPr>
        <w:t xml:space="preserve">) e tratamentos de estado de foco e de desativação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complexidade do cenário do Projeto Pedagógico exige submissões longas, onde a falha em manter a consistência visual resulta no abandono da tarefa pelo corpo docente ou pela equipe administrativa.</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Entradas Textuais, Áreas de Texto e Uso de Placeholders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paradigma do componente base .br-input encapsula e organiza os campos fundamentais. A estrutura semântica prescrita dita que todos os elementos devem estar acondicionados em contêineres unificados, garantindo distanciamentos fixos nas variáveis --component-size (normalmente divididos em small: 40px, medium: 100px, large: 160px de acordo com a densidade configurada)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rótulo identificador (&lt;label&gt;) assume papel protagonista e inegociável na hierarquia visual. Ele deve sempre anteceder e posicionar-se acima do respectivo campo de entrada (&lt;input&gt; ou &lt;textarea&gt;), referenciando rigorosamente o identificador único (id) daquele nó na árvore do DOM por meio do atributo for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Essa vinculação técnica não é uma mera recomendação de estilo; ela viabiliza o foco imediato caso o usuário clique na palavra-chave do título e fornece a ponte de síntese de voz a leitores de tela como NVDA ou VoiceOver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utilização de textos auxiliares (</w:t>
      </w:r>
      <w:r w:rsidDel="00000000" w:rsidR="00000000" w:rsidRPr="00000000">
        <w:rPr>
          <w:rFonts w:ascii="Google Sans" w:cs="Google Sans" w:eastAsia="Google Sans" w:hAnsi="Google Sans"/>
          <w:i w:val="1"/>
          <w:iCs w:val="1"/>
          <w:color w:val="1f1f1f"/>
          <w:rtl w:val="0"/>
        </w:rPr>
        <w:t xml:space="preserve">placeholders</w:t>
      </w:r>
      <w:r w:rsidDel="00000000" w:rsidR="00000000" w:rsidRPr="00000000">
        <w:rPr>
          <w:rFonts w:ascii="Google Sans" w:cs="Google Sans" w:eastAsia="Google Sans" w:hAnsi="Google Sans"/>
          <w:color w:val="1f1f1f"/>
          <w:rtl w:val="0"/>
        </w:rPr>
        <w:t xml:space="preserve">) recebe diretrizes restritivas. O </w:t>
      </w:r>
      <w:r w:rsidDel="00000000" w:rsidR="00000000" w:rsidRPr="00000000">
        <w:rPr>
          <w:rFonts w:ascii="Google Sans" w:cs="Google Sans" w:eastAsia="Google Sans" w:hAnsi="Google Sans"/>
          <w:i w:val="1"/>
          <w:iCs w:val="1"/>
          <w:color w:val="1f1f1f"/>
          <w:rtl w:val="0"/>
        </w:rPr>
        <w:t xml:space="preserve">placeholder</w:t>
      </w:r>
      <w:r w:rsidDel="00000000" w:rsidR="00000000" w:rsidRPr="00000000">
        <w:rPr>
          <w:rFonts w:ascii="Google Sans" w:cs="Google Sans" w:eastAsia="Google Sans" w:hAnsi="Google Sans"/>
          <w:color w:val="1f1f1f"/>
          <w:rtl w:val="0"/>
        </w:rPr>
        <w:t xml:space="preserve"> (ex: placeholder="Selecione o item" ou ex: "Insira a bibliografia separada por vírgula") atua exclusivamente como texto exemplificativo do padrão esperado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Sob nenhum pretexto os desenvolvedores devem utilizar os </w:t>
      </w:r>
      <w:r w:rsidDel="00000000" w:rsidR="00000000" w:rsidRPr="00000000">
        <w:rPr>
          <w:rFonts w:ascii="Google Sans" w:cs="Google Sans" w:eastAsia="Google Sans" w:hAnsi="Google Sans"/>
          <w:i w:val="1"/>
          <w:iCs w:val="1"/>
          <w:color w:val="1f1f1f"/>
          <w:rtl w:val="0"/>
        </w:rPr>
        <w:t xml:space="preserve">placeholders</w:t>
      </w:r>
      <w:r w:rsidDel="00000000" w:rsidR="00000000" w:rsidRPr="00000000">
        <w:rPr>
          <w:rFonts w:ascii="Google Sans" w:cs="Google Sans" w:eastAsia="Google Sans" w:hAnsi="Google Sans"/>
          <w:color w:val="1f1f1f"/>
          <w:rtl w:val="0"/>
        </w:rPr>
        <w:t xml:space="preserve"> como substitutos dos rótulos permanentes, vez que tais textos transitórios desaparecem mediante o primeiro toque ou digitação do usuário, anulando a rastreabilidade da intenção original daquele bloco do formulário. Adicionalmente, quando inserções contemplam indicadores visuais contextuais (como a lupa para pesquisar portarias normativas do MEC), o campo base incorpora modificadores sistemáticos, como a classe abstrata .has-icon, garantindo que o padding interno não conflite ou oculte o próprio texto inserido pelo servidor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Controles de Seleção Discreta: Radio Buttons e Checkboxes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 agrupamentos lógicos de seleção excludente (ex: escolha do turno do curso: "Matutino", "Vespertino", "Noturno") ou de seleção múltipla (ex: escolha de instalações laboratoriais no PPC) são geridos pelos utilitários .br-radio e .br-checkbox</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estrutura normatizada pelo Design System requer o ocultamento estratégico dos controles HTML padrão fornecidos pelos navegadores web, construindo superfícies de interação vetorizadas sobre as descrições em &lt;label&gt;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implementação engloba uma embalagem estrutural base na qual o input type="radio" nativo permanece ancorado no HTML para capturar estados, mas sob a supressão de classes que garantem seu apagamento visual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 manipulador DOM e as rotinas de teclado devem ser desenhadas para assegurar que, embora os atributos gráficos e vetoriais estejam sendo renderizados por CSS via seletores adjacentes (+ .br-button, ou pseudoelementos ::before / ::after), as transições de estado via teclado (uso de tabulação e teclas de espaço) operem no objeto oculto nativo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Funções customizadas em JavaScript devem ser atreladas via querySelectorAll('.br-radio input, .br-checkbox input') para detectar atualizações no fluxo natural da inserção de eventos e injetar </w:t>
      </w:r>
      <w:r w:rsidDel="00000000" w:rsidR="00000000" w:rsidRPr="00000000">
        <w:rPr>
          <w:rFonts w:ascii="Google Sans" w:cs="Google Sans" w:eastAsia="Google Sans" w:hAnsi="Google Sans"/>
          <w:i w:val="1"/>
          <w:iCs w:val="1"/>
          <w:color w:val="1f1f1f"/>
          <w:rtl w:val="0"/>
        </w:rPr>
        <w:t xml:space="preserve">feedbacks</w:t>
      </w:r>
      <w:r w:rsidDel="00000000" w:rsidR="00000000" w:rsidRPr="00000000">
        <w:rPr>
          <w:rFonts w:ascii="Google Sans" w:cs="Google Sans" w:eastAsia="Google Sans" w:hAnsi="Google Sans"/>
          <w:color w:val="1f1f1f"/>
          <w:rtl w:val="0"/>
        </w:rPr>
        <w:t xml:space="preserve"> de preenchimento obrigatório aos contêineres ascendentes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Menus Suspensos Customizados (Selects) e Controle de Foco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Devido às crônicas inconsistências de estilização da tag padrão &lt;select&gt; ao longo dos múltiplos </w:t>
      </w:r>
      <w:r w:rsidDel="00000000" w:rsidR="00000000" w:rsidRPr="00000000">
        <w:rPr>
          <w:rFonts w:ascii="Google Sans" w:cs="Google Sans" w:eastAsia="Google Sans" w:hAnsi="Google Sans"/>
          <w:i w:val="1"/>
          <w:iCs w:val="1"/>
          <w:color w:val="1f1f1f"/>
          <w:rtl w:val="0"/>
        </w:rPr>
        <w:t xml:space="preserve">browsers</w:t>
      </w:r>
      <w:r w:rsidDel="00000000" w:rsidR="00000000" w:rsidRPr="00000000">
        <w:rPr>
          <w:rFonts w:ascii="Google Sans" w:cs="Google Sans" w:eastAsia="Google Sans" w:hAnsi="Google Sans"/>
          <w:color w:val="1f1f1f"/>
          <w:rtl w:val="0"/>
        </w:rPr>
        <w:t xml:space="preserve"> de mercado (Chrome, Firefox, Safari), a padronização orienta a utilização de componentes estruturados do tipo .br-select quando integrados à família do GOV.BR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 arquitetura desse recurso dispensa as tags &lt;select&gt; base e instaura hierarquias de divisões de blocos (&lt;div&gt;), as quais compõem uma área principal de leitura e uma lixeira pendente de conteúdo .br-list iterada pelo JavaScript puro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listagem colapsada que resguarda as opções do PPC (e.g., Unidades da Federação, códigos CINE do MEC, faixas de titulação) assenta-se na configuração de contêineres absolutos que saltam da tela via manipulação do atributo CSS display: block ativado transitoriamente pelo seletor numérico abstrato [expanded]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Esses menus de flutuação absoluta recebem limites de visualização como max-height: 404px e possuem modificadores gráficos diretos para rolagens padronizadas (suprimindo os visuais de sistema operacional via ::-webkit-scrollbar), projetando também a elevação (</w:t>
      </w:r>
      <w:r w:rsidDel="00000000" w:rsidR="00000000" w:rsidRPr="00000000">
        <w:rPr>
          <w:rFonts w:ascii="Google Sans" w:cs="Google Sans" w:eastAsia="Google Sans" w:hAnsi="Google Sans"/>
          <w:i w:val="1"/>
          <w:iCs w:val="1"/>
          <w:color w:val="1f1f1f"/>
          <w:rtl w:val="0"/>
        </w:rPr>
        <w:t xml:space="preserve">box-shadow</w:t>
      </w:r>
      <w:r w:rsidDel="00000000" w:rsidR="00000000" w:rsidRPr="00000000">
        <w:rPr>
          <w:rFonts w:ascii="Google Sans" w:cs="Google Sans" w:eastAsia="Google Sans" w:hAnsi="Google Sans"/>
          <w:color w:val="1f1f1f"/>
          <w:rtl w:val="0"/>
        </w:rPr>
        <w:t xml:space="preserve">) da superfície correspondente à hierarquia visual das interfaces sobrepostas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gerenciamento de código sem bibliotecas engloba a imperiosa obrigação de alternância dinâmica de propriedades. A cada clique de expansão, a rotina DOM deve vasculhar as instâncias instanciadas (this.component.querySelector('.br-input .br-button')) e providenciar a substituição de classes de iconografia associadas à estrutura indicadora (e.g., remoção iterativa de fa-angle-down substituída por fa-angle-up)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Validação Tolerante a Falhas e Mensagens de Erro Assistivas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Gerenciador do PPC opera como ferramenta técnica governamental na qual equívocos acarretam rejeições sistêmicas em avaliações do Inep/MEC. Dessa forma, as mensagens orientadoras assumem papéis vitais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 validação no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tem a finalidade de inibir duplas submissões ou preenchimentos corrompidos, devolvendo mensagens adjacentes vinculadas diretamente ao respectivo bloco de erro do formulário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padrão especifica a injeção instantânea de contêineres ou literais de &lt;span&gt; ao término dos campos violados, utilizando a associação construtiva de atributos base: &lt;span class="feedback warning" role="alert"&gt;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Essa estrutura garante que, ao surgir no DOM como produto da falha do usuário, os </w:t>
      </w:r>
      <w:r w:rsidDel="00000000" w:rsidR="00000000" w:rsidRPr="00000000">
        <w:rPr>
          <w:rFonts w:ascii="Google Sans" w:cs="Google Sans" w:eastAsia="Google Sans" w:hAnsi="Google Sans"/>
          <w:i w:val="1"/>
          <w:iCs w:val="1"/>
          <w:color w:val="1f1f1f"/>
          <w:rtl w:val="0"/>
        </w:rPr>
        <w:t xml:space="preserve">softwares</w:t>
      </w:r>
      <w:r w:rsidDel="00000000" w:rsidR="00000000" w:rsidRPr="00000000">
        <w:rPr>
          <w:rFonts w:ascii="Google Sans" w:cs="Google Sans" w:eastAsia="Google Sans" w:hAnsi="Google Sans"/>
          <w:color w:val="1f1f1f"/>
          <w:rtl w:val="0"/>
        </w:rPr>
        <w:t xml:space="preserve"> de captura de contexto em áudio forcem a interrupção da rotina passiva e alertem o cidadão com perdas visuais exatas daquela ocorrência indesejada através de </w:t>
      </w:r>
      <w:r w:rsidDel="00000000" w:rsidR="00000000" w:rsidRPr="00000000">
        <w:rPr>
          <w:rFonts w:ascii="Google Sans" w:cs="Google Sans" w:eastAsia="Google Sans" w:hAnsi="Google Sans"/>
          <w:i w:val="1"/>
          <w:iCs w:val="1"/>
          <w:color w:val="1f1f1f"/>
          <w:rtl w:val="0"/>
        </w:rPr>
        <w:t xml:space="preserve">Live Regions</w:t>
      </w:r>
      <w:r w:rsidDel="00000000" w:rsidR="00000000" w:rsidRPr="00000000">
        <w:rPr>
          <w:rFonts w:ascii="Google Sans" w:cs="Google Sans" w:eastAsia="Google Sans" w:hAnsi="Google Sans"/>
          <w:color w:val="1f1f1f"/>
          <w:rtl w:val="0"/>
        </w:rPr>
        <w:t xml:space="preserve"> embutidas (role="alert")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injeção dessas mensagens atrela-se, simultaneamente, ao preenchimento reativo de colorações da borda dos campos errôneos, mapeados por herança de cores das variáveis como --focus-color-dark e correlatos nas variantes e estados falhos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Estruturação de Formulários Longos: Accordions e Tooltips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formulários cujo preenchimento se estende transversalmente a perfis muito distantes (como projetos pedagógicos que extrapolam centenas de páginas em suas saídas finais em formato PDF), o Design System GOV.BR impõe a minimização da poluição topológica por meio da contração estruturada dos dados de interface.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componente outrora recomendada "Accordion" cedeu espaço estratégico a diretrizes unificadas agrupadas sob a classe de padrões "Collapse"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O objetivo dos </w:t>
      </w:r>
      <w:r w:rsidDel="00000000" w:rsidR="00000000" w:rsidRPr="00000000">
        <w:rPr>
          <w:rFonts w:ascii="Google Sans" w:cs="Google Sans" w:eastAsia="Google Sans" w:hAnsi="Google Sans"/>
          <w:i w:val="1"/>
          <w:iCs w:val="1"/>
          <w:color w:val="1f1f1f"/>
          <w:rtl w:val="0"/>
        </w:rPr>
        <w:t xml:space="preserve">Collapses</w:t>
      </w:r>
      <w:r w:rsidDel="00000000" w:rsidR="00000000" w:rsidRPr="00000000">
        <w:rPr>
          <w:rFonts w:ascii="Google Sans" w:cs="Google Sans" w:eastAsia="Google Sans" w:hAnsi="Google Sans"/>
          <w:color w:val="1f1f1f"/>
          <w:rtl w:val="0"/>
        </w:rPr>
        <w:t xml:space="preserve"> é englobar fatias lógicas dos formulários acadêmicos e preservá-los ocultos até que a atenção ativa do coordenador ou usuário demande aquela exploração (e.g., uma área restrita para "Mapeamento das Políticas de Extensão e Pesquisa"). Na engenharia do agrupamento colapsável, o foco tipográfico atua positivamente ou negativamente perante os fundos, ajustando a cor da fonte branca sobre cinzas pesados por obrigações de índice de luminosidade de contraste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as interações técnicas ou termos legais intrincados são mapeados por Tooltips — balões de ancoragem explicativa flutuantes. A anatomia do </w:t>
      </w:r>
      <w:r w:rsidDel="00000000" w:rsidR="00000000" w:rsidRPr="00000000">
        <w:rPr>
          <w:rFonts w:ascii="Google Sans" w:cs="Google Sans" w:eastAsia="Google Sans" w:hAnsi="Google Sans"/>
          <w:i w:val="1"/>
          <w:iCs w:val="1"/>
          <w:color w:val="1f1f1f"/>
          <w:rtl w:val="0"/>
        </w:rPr>
        <w:t xml:space="preserve">Tooltip</w:t>
      </w:r>
      <w:r w:rsidDel="00000000" w:rsidR="00000000" w:rsidRPr="00000000">
        <w:rPr>
          <w:rFonts w:ascii="Google Sans" w:cs="Google Sans" w:eastAsia="Google Sans" w:hAnsi="Google Sans"/>
          <w:color w:val="1f1f1f"/>
          <w:rtl w:val="0"/>
        </w:rPr>
        <w:t xml:space="preserve"> é composta intrinsecamente de posicionamentos dinâmicos que pairam sobreposta aos campos de base (z-index de elevação obrigatório de camada quatro, sempre projetando sombras reais e volumetria do Fundamento Elevação), consistindo obrigatoriamente num elemento </w:t>
      </w:r>
      <w:r w:rsidDel="00000000" w:rsidR="00000000" w:rsidRPr="00000000">
        <w:rPr>
          <w:rFonts w:ascii="Google Sans" w:cs="Google Sans" w:eastAsia="Google Sans" w:hAnsi="Google Sans"/>
          <w:i w:val="1"/>
          <w:iCs w:val="1"/>
          <w:color w:val="1f1f1f"/>
          <w:rtl w:val="0"/>
        </w:rPr>
        <w:t xml:space="preserve">Balão Flutuante</w:t>
      </w:r>
      <w:r w:rsidDel="00000000" w:rsidR="00000000" w:rsidRPr="00000000">
        <w:rPr>
          <w:rFonts w:ascii="Google Sans" w:cs="Google Sans" w:eastAsia="Google Sans" w:hAnsi="Google Sans"/>
          <w:color w:val="1f1f1f"/>
          <w:rtl w:val="0"/>
        </w:rPr>
        <w:t xml:space="preserve"> principal e uma </w:t>
      </w:r>
      <w:r w:rsidDel="00000000" w:rsidR="00000000" w:rsidRPr="00000000">
        <w:rPr>
          <w:rFonts w:ascii="Google Sans" w:cs="Google Sans" w:eastAsia="Google Sans" w:hAnsi="Google Sans"/>
          <w:i w:val="1"/>
          <w:iCs w:val="1"/>
          <w:color w:val="1f1f1f"/>
          <w:rtl w:val="0"/>
        </w:rPr>
        <w:t xml:space="preserve">Seta Direcional</w:t>
      </w:r>
      <w:r w:rsidDel="00000000" w:rsidR="00000000" w:rsidRPr="00000000">
        <w:rPr>
          <w:rFonts w:ascii="Google Sans" w:cs="Google Sans" w:eastAsia="Google Sans" w:hAnsi="Google Sans"/>
          <w:color w:val="1f1f1f"/>
          <w:rtl w:val="0"/>
        </w:rPr>
        <w:t xml:space="preserve"> orientativa, operados ocasionalmente sob a chancela da dependência Popper ou equivalentes lógicos em JavaScript moderno que coíbem saídas dessas mensagens das dimensões limites das janelas responsivas (</w:t>
      </w:r>
      <w:r w:rsidDel="00000000" w:rsidR="00000000" w:rsidRPr="00000000">
        <w:rPr>
          <w:rFonts w:ascii="Google Sans" w:cs="Google Sans" w:eastAsia="Google Sans" w:hAnsi="Google Sans"/>
          <w:i w:val="1"/>
          <w:iCs w:val="1"/>
          <w:color w:val="1f1f1f"/>
          <w:rtl w:val="0"/>
        </w:rPr>
        <w:t xml:space="preserve">viewports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Padrões de Interatividade e Componentes de Ação (Botões)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comunicação intencional em janelas governamentais reflete o princípio da previsibilidade interativa, separando inequivocamente ações cruciais de ações tangenciais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Os botões dentro do Padrão Digital não exercem simples função estética; codificam o impacto destrutivo ou construtivo da interação corrente do sistema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componente é modelado sob a instância primordial .br-button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Os tipos ramificam-se conceitualmente em duas frentes vitais na engenharia da submissão do formulário:</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Botão Primário (.br-button.primary):</w:t>
      </w:r>
      <w:r w:rsidDel="00000000" w:rsidR="00000000" w:rsidRPr="00000000">
        <w:rPr>
          <w:rFonts w:ascii="Google Sans" w:cs="Google Sans" w:eastAsia="Google Sans" w:hAnsi="Google Sans"/>
          <w:color w:val="1f1f1f"/>
          <w:rtl w:val="0"/>
        </w:rPr>
        <w:t xml:space="preserve"> Revestido do Azul Gov.BR e texto contrastante, destina-se obrigatoriamente a uma ação unitária principal que consolida o compromisso do usuário com aquela vista ativa, como confirmar uma ação destrutiva de concordância no formato "Excluir PPC" ou no prosseguimento linear de fluxos, posicionando-se, via de regra, no extremo inferior e à direita na interface analítica ocidental, conduzindo o fluxo do olhar ao termo do preenchimento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Botão Secundário (.br-button.secondary):</w:t>
      </w:r>
      <w:r w:rsidDel="00000000" w:rsidR="00000000" w:rsidRPr="00000000">
        <w:rPr>
          <w:rFonts w:ascii="Google Sans" w:cs="Google Sans" w:eastAsia="Google Sans" w:hAnsi="Google Sans"/>
          <w:color w:val="1f1f1f"/>
          <w:rtl w:val="0"/>
        </w:rPr>
        <w:t xml:space="preserve"> Apresentando massa visual deliberadamente esvaziada por meio de ausência preenchida de fundos pesados (apenas contornos lineares ou tipografias coloridas), ampara fluxos perdedores de retenção lógicos como descartes temporários, cancelamentos de edição nas Modais de Confirmação, e retrocessos de telas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arquitetura dos botões determina que a vivência cíclica preveja os estados inertes ou assíncronos que barram operações colidentes. Os atributos e modificadores incluem:</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Disabled (Atributo HTML):</w:t>
      </w:r>
      <w:r w:rsidDel="00000000" w:rsidR="00000000" w:rsidRPr="00000000">
        <w:rPr>
          <w:rFonts w:ascii="Google Sans" w:cs="Google Sans" w:eastAsia="Google Sans" w:hAnsi="Google Sans"/>
          <w:color w:val="1f1f1f"/>
          <w:rtl w:val="0"/>
        </w:rPr>
        <w:t xml:space="preserve"> Representa a suspensão estática. A supressão das permissões de clique não deriva apenas de folhas de estilo dissimuladas; deve ser efetivada mediante injeção programática do atributo matriz disabled do W3C</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Loading (Classe Dinâmica):</w:t>
      </w:r>
      <w:r w:rsidDel="00000000" w:rsidR="00000000" w:rsidRPr="00000000">
        <w:rPr>
          <w:rFonts w:ascii="Google Sans" w:cs="Google Sans" w:eastAsia="Google Sans" w:hAnsi="Google Sans"/>
          <w:color w:val="1f1f1f"/>
          <w:rtl w:val="0"/>
        </w:rPr>
        <w:t xml:space="preserve"> Nas etapas em que o navegador transmite blocos seriais ao servidor (submissão da carga do currículo por API), o desenvolvedor aplicará a classe ativadora loading sobreposta, acionando rotações indicativas e bloqueios invisíveis imediatos, resguardando o ambiente de erros associados a submissões sequenciais indesejáveis (</w:t>
      </w:r>
      <w:r w:rsidDel="00000000" w:rsidR="00000000" w:rsidRPr="00000000">
        <w:rPr>
          <w:rFonts w:ascii="Google Sans" w:cs="Google Sans" w:eastAsia="Google Sans" w:hAnsi="Google Sans"/>
          <w:i w:val="1"/>
          <w:iCs w:val="1"/>
          <w:color w:val="1f1f1f"/>
          <w:rtl w:val="0"/>
        </w:rPr>
        <w:t xml:space="preserve">double-submissions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Componentes Puramente Iconográficos:</w:t>
      </w:r>
      <w:r w:rsidDel="00000000" w:rsidR="00000000" w:rsidRPr="00000000">
        <w:rPr>
          <w:rFonts w:ascii="Google Sans" w:cs="Google Sans" w:eastAsia="Google Sans" w:hAnsi="Google Sans"/>
          <w:color w:val="1f1f1f"/>
          <w:rtl w:val="0"/>
        </w:rPr>
        <w:t xml:space="preserve"> Interações sem espaço físico para textos alfanuméricos — e.g., cruzes em painéis flutuantes .br-button.circle.small utilizadas na mitigação de modais ou encerramento de abas — demandam a codificação rigorosa do atributo universal aria-label="Função Alternativa", impedindo falhas críticas de auditoria computacional do Padrão Mínimo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Botão Interativo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Declaração Estrutural Sugerida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Aplicação Prática no PPC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Observação Regulatória de Acessibilidade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Ação Primária Base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&lt;button class="br-button primary"&gt;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Concluir Envio ao MEC; Aprovar Carga Horária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Usar com parcimônia, preferencialmente apenas um por visão ativa para mitigar ambiguidade.</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Ação Secundária Cancelar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&lt;button class="br-button secondary"&gt;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Descartar Rascunho; Retroceder Etapa do Wizard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 painéis sobrepostos (Modais), funciona sinergicamente com os eventos nativos da tecla </w:t>
            </w:r>
            <w:r w:rsidDel="00000000" w:rsidR="00000000" w:rsidRPr="00000000">
              <w:rPr>
                <w:rFonts w:ascii="Google Sans" w:cs="Google Sans" w:eastAsia="Google Sans" w:hAnsi="Google Sans"/>
                <w:i w:val="1"/>
                <w:iCs w:val="1"/>
                <w:color w:val="1f1f1f"/>
                <w:shd w:fill="auto" w:val="clear"/>
                <w:rtl w:val="0"/>
              </w:rPr>
              <w:t xml:space="preserve">Esc</w:t>
            </w:r>
            <w:r w:rsidDel="00000000" w:rsidR="00000000" w:rsidRPr="00000000">
              <w:rPr>
                <w:rFonts w:ascii="Google Sans" w:cs="Google Sans" w:eastAsia="Google Sans" w:hAnsi="Google Sans"/>
                <w:color w:val="1f1f1f"/>
                <w:shd w:fill="auto" w:val="clear"/>
                <w:rtl w:val="0"/>
              </w:rPr>
              <w:t xml:space="preserve"> e fechamentos de clique externo nas superfícies em sobreposição (</w:t>
            </w:r>
            <w:r w:rsidDel="00000000" w:rsidR="00000000" w:rsidRPr="00000000">
              <w:rPr>
                <w:rFonts w:ascii="Google Sans" w:cs="Google Sans" w:eastAsia="Google Sans" w:hAnsi="Google Sans"/>
                <w:i w:val="1"/>
                <w:iCs w:val="1"/>
                <w:color w:val="1f1f1f"/>
                <w:shd w:fill="auto" w:val="clear"/>
                <w:rtl w:val="0"/>
              </w:rPr>
              <w:t xml:space="preserve">overlay</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Ação Circular Simbólica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&lt;button class="br-button circle"&gt;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Adicionar nova linha de Professor; Remover Anexo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Presença de rótulos via atributos de </w:t>
            </w:r>
            <w:r w:rsidDel="00000000" w:rsidR="00000000" w:rsidRPr="00000000">
              <w:rPr>
                <w:rFonts w:ascii="Google Sans" w:cs="Google Sans" w:eastAsia="Google Sans" w:hAnsi="Google Sans"/>
                <w:i w:val="1"/>
                <w:iCs w:val="1"/>
                <w:color w:val="1f1f1f"/>
                <w:shd w:fill="auto" w:val="clear"/>
                <w:rtl w:val="0"/>
              </w:rPr>
              <w:t xml:space="preserve">Aria</w:t>
            </w:r>
            <w:r w:rsidDel="00000000" w:rsidR="00000000" w:rsidRPr="00000000">
              <w:rPr>
                <w:rFonts w:ascii="Google Sans" w:cs="Google Sans" w:eastAsia="Google Sans" w:hAnsi="Google Sans"/>
                <w:color w:val="1f1f1f"/>
                <w:shd w:fill="auto" w:val="clear"/>
                <w:rtl w:val="0"/>
              </w:rPr>
              <w:t xml:space="preserve"> e iconografias associadas de alto suporte em redes como FontAwesome obrigatoriamente.</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Padrão Mínimo de Qualidade e Estruturas Obrigatórias de Página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amparo técnico às diretivas de Governança Digital, o Padrão Mínimo dispõe normativas que transcendem a aparência modular para definir macroestruturas indispensáveis de </w:t>
      </w:r>
      <w:r w:rsidDel="00000000" w:rsidR="00000000" w:rsidRPr="00000000">
        <w:rPr>
          <w:rFonts w:ascii="Google Sans" w:cs="Google Sans" w:eastAsia="Google Sans" w:hAnsi="Google Sans"/>
          <w:i w:val="1"/>
          <w:iCs w:val="1"/>
          <w:color w:val="1f1f1f"/>
          <w:rtl w:val="0"/>
        </w:rPr>
        <w:t xml:space="preserve">layout</w:t>
      </w:r>
      <w:r w:rsidDel="00000000" w:rsidR="00000000" w:rsidRPr="00000000">
        <w:rPr>
          <w:rFonts w:ascii="Google Sans" w:cs="Google Sans" w:eastAsia="Google Sans" w:hAnsi="Google Sans"/>
          <w:color w:val="1f1f1f"/>
          <w:rtl w:val="0"/>
        </w:rPr>
        <w:t xml:space="preserve">. A falha ou dolo na inobservância de qualquer elemento dessa subcategoria de auditoria inviabiliza que o projeto do Gerador de PPC receba os selos e aprovações de certificação em plataformas públicas conectadas aos entes federativos, exigindo compatibilidade para navegadores múltiplos, responsividade intrínseca de componentes, e inserções fixas de identidade governamental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Navegação de Topo (Header) e Rodapé Institucional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preâmbulo de todo produto digital público é o seu cabeçalho matriz, comumente arquitetado e compactado sob os utilitários .br-header.compact. Tal componente abrange a logotipia magna na área inicial (.header-logo), apartada por marcações estruturais como filetes espaçadores .br-divider.vertical, e coroa a identificação semântica final com a assinatura do Ministério ou agência subjacente, ancorados nos limites seguros delimitados estruturalmente pela classe .container-lg na distribuição do Tailwind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Em níveis sistêmicos a base é montada operando em alinhamento constante, projetando a barra principal sob medidas prefixadas (.header-bar referenciado em 90px em distribuições antigas) e alicerçada na injeção imediata de scripts core.BRHeader() para dar suporte responsivo às reestruturações ocorridas na visualização através de celulares (</w:t>
      </w:r>
      <w:r w:rsidDel="00000000" w:rsidR="00000000" w:rsidRPr="00000000">
        <w:rPr>
          <w:rFonts w:ascii="Google Sans" w:cs="Google Sans" w:eastAsia="Google Sans" w:hAnsi="Google Sans"/>
          <w:i w:val="1"/>
          <w:iCs w:val="1"/>
          <w:color w:val="1f1f1f"/>
          <w:rtl w:val="0"/>
        </w:rPr>
        <w:t xml:space="preserve">Mobile-First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retaguarda absoluta da área de leitura, o .br-footer abriga ligações lógicas regulatórias, chancelas técnicas unificadoras, e referências contratuais, exigindo marcações de barras escuras e proeminentes sob diretrizes de borda (border-bottom: 4px solid var(--color-primary-darken-02)) na finalização das interações sistêmicas que vinculam o cidadão produtor do PPC à base do estado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Skip Links (Ir para o Conteúdo) e Navegabilidade via Teclado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teste derradeiro para qualquer auditor de conformidade governamental W3C é verificar se fluxos contínuos de cabeçalhos atrapalham usuários inaptos ao manuseio do cursor em ponteiro livre, forçados ao uso cadenciado da tecla de rolamento </w:t>
      </w:r>
      <w:r w:rsidDel="00000000" w:rsidR="00000000" w:rsidRPr="00000000">
        <w:rPr>
          <w:rFonts w:ascii="Google Sans" w:cs="Google Sans" w:eastAsia="Google Sans" w:hAnsi="Google Sans"/>
          <w:i w:val="1"/>
          <w:iCs w:val="1"/>
          <w:color w:val="1f1f1f"/>
          <w:rtl w:val="0"/>
        </w:rPr>
        <w:t xml:space="preserve">Tab</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componente Skip Link, portanto, assume protagonismo como instrumento fundamental, operando mediante ligações temporariamente suprimidas da visão panorâmica comum e exteriorizadas somente mediante ganho artificial de foco virtual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sua arquitetura compreende marcadores da classe &lt;span class="br-tag text"&gt; configurados para atuar nas chamadas para a âncora primordial dos formulários geradores ("Ir para o conteúdo (1/4)"). Ao invocar essa estrutura, a interface empurra inteligentemente a leitura sintética por sobre as dezenas de itens irrelevantes listados nos submenus de topo governamentais, salvaguardando a capacidade produtiva universalizada da nação nos sistemas administrativos, alicerçada como princípio mestre na fundação dos manuais orientadores e boas práticas digitais exigidos pelos componentes globais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 de Requisitos Obrigatórios: Avaliação Sistêmica (Checklist)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consolidação de toda a auditoria normativa técnica culmina no rastreio rigoroso e incondicional das obrigatoriedades listadas. A matriz metodológica a seguir mapeia os domínios essenciais requeridos na modernização do Gerador do PPC de maneira integrada às restrições semânticas da tríade (Tailwind CSS, Vanilla HTML, JS):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Dimensão e Requisito Arquitetural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Critério Técnico Base e Restrição de Funcionalidade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Implementação Exigida no DOM (Tailwind / CSS-JS)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de Aceitação Sistêmica / Acessibilidade (WCAG)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Tipografia Rawline Primária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Dependência resolvida antes do </w:t>
            </w:r>
            <w:r w:rsidDel="00000000" w:rsidR="00000000" w:rsidRPr="00000000">
              <w:rPr>
                <w:rFonts w:ascii="Google Sans" w:cs="Google Sans" w:eastAsia="Google Sans" w:hAnsi="Google Sans"/>
                <w:i w:val="1"/>
                <w:iCs w:val="1"/>
                <w:color w:val="1f1f1f"/>
                <w:shd w:fill="auto" w:val="clear"/>
                <w:rtl w:val="0"/>
              </w:rPr>
              <w:t xml:space="preserve">Core</w:t>
            </w:r>
            <w:r w:rsidDel="00000000" w:rsidR="00000000" w:rsidRPr="00000000">
              <w:rPr>
                <w:rFonts w:ascii="Google Sans" w:cs="Google Sans" w:eastAsia="Google Sans" w:hAnsi="Google Sans"/>
                <w:color w:val="1f1f1f"/>
                <w:shd w:fill="auto" w:val="clear"/>
                <w:rtl w:val="0"/>
              </w:rPr>
              <w:t xml:space="preserve"> CSS. Carga completa das fisionomias em pesos base 300, 400, 500 a 900.</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Importação referenciada &lt;link&gt; no &lt;head&gt;, configurada primariamente no tailwind.config.js e em variáveis universais. Queda de resiliência acoplada a </w:t>
            </w:r>
            <w:r w:rsidDel="00000000" w:rsidR="00000000" w:rsidRPr="00000000">
              <w:rPr>
                <w:rFonts w:ascii="Google Sans" w:cs="Google Sans" w:eastAsia="Google Sans" w:hAnsi="Google Sans"/>
                <w:i w:val="1"/>
                <w:iCs w:val="1"/>
                <w:color w:val="1f1f1f"/>
                <w:shd w:fill="auto" w:val="clear"/>
                <w:rtl w:val="0"/>
              </w:rPr>
              <w:t xml:space="preserve">Raleway</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Evita transições de salto e deformações estruturais em telas extensas. Assegura a legibilidade universal aprovada pelos manuais da federação.</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Gestão Semântica Institucional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Restrição das colorações primárias de cabeçalhos e fundos maciços ao Azul base Gov.BR (Hex #071D41), suplementadas pelos pastéis.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Transmutação das variáveis CSS Nativas do pacote Core às chaves literais do Tailwind (e.g. bg-gov-dark).</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Viabiliza distinções cruciais de botões primários contra secundários. Garantia absoluta de taxa de luminância superior à diretriz base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Sinalização Crítica Baseada em Formas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Nenhuma notificação ou invalidação gerada durante o upload do PDF deverá repousar unicamente sob variáveis focais de cor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Alocação das validações &lt;span class="feedback error"&gt; atreladas obrigatoriamente às injeções de classes vetorizadas como ícones transversais &lt;i class="fa fa-times"&gt;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Evita a exclusão do servidor de gestão por dicromatismos, impedindo bloqueios silenciosos em campos pendentes nas submissões ao MEC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Encapsulamento Unificado de Formulários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Agrupamento de todas as chaves em invólucros nativos (.br-input, .br-select) respeitando padronagens flexíveis (small, medium) adaptadas à dimensão de clique [</w:t>
            </w:r>
            <w:r w:rsidDel="00000000" w:rsidR="00000000" w:rsidRPr="00000000">
              <w:rPr>
                <w:rFonts w:ascii="Google Sans" w:cs="Google Sans" w:eastAsia="Google Sans" w:hAnsi="Google Sans"/>
                <w:i w:val="1"/>
                <w:iCs w:val="1"/>
                <w:color w:val="1f1f1f"/>
                <w:shd w:fill="auto" w:val="clear"/>
                <w:rtl w:val="0"/>
              </w:rPr>
              <w:t xml:space="preserve">tap areas</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Interação e dependências programadas por meio do </w:t>
            </w:r>
            <w:r w:rsidDel="00000000" w:rsidR="00000000" w:rsidRPr="00000000">
              <w:rPr>
                <w:rFonts w:ascii="Google Sans" w:cs="Google Sans" w:eastAsia="Google Sans" w:hAnsi="Google Sans"/>
                <w:i w:val="1"/>
                <w:iCs w:val="1"/>
                <w:color w:val="1f1f1f"/>
                <w:shd w:fill="auto" w:val="clear"/>
                <w:rtl w:val="0"/>
              </w:rPr>
              <w:t xml:space="preserve">JavaScript Vanilla</w:t>
            </w:r>
            <w:r w:rsidDel="00000000" w:rsidR="00000000" w:rsidRPr="00000000">
              <w:rPr>
                <w:rFonts w:ascii="Google Sans" w:cs="Google Sans" w:eastAsia="Google Sans" w:hAnsi="Google Sans"/>
                <w:color w:val="1f1f1f"/>
                <w:shd w:fill="auto" w:val="clear"/>
                <w:rtl w:val="0"/>
              </w:rPr>
              <w:t xml:space="preserve">, monitorando seções nativas e substituindo eventos originais de dropdowns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Aumenta o resguardo legal perante áreas clicáveis inóspitas, suprimindo instabilidades provenientes de caixas ativas originárias de múltiplos navegadores e sistemas Android e IOS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Labelização Rigorosa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Extermínio da prática técnica atrelada ao uso unificado dos atributos abstratos textuais transitórios (placeholders) como forma substituta a identificadores fixos visuais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Atrelamento imutável através do W3C de rótulos permanentes &lt;label for="[id]"&gt;, antecedendo a ordem hierárquica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Manutenção sistêmica no processo sintético de narrativas a auditores cegos. As informações não somem em digitação paralela contínua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Gestores Lógicos Nativos (Radios, Seletores Ocultos)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Configurações lógicas para múltipla ou mútua anulação em componentes base de formulário mantendo classes ocultas aos motores, porém passíveis de indexação.</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Substituição via </w:t>
            </w:r>
            <w:r w:rsidDel="00000000" w:rsidR="00000000" w:rsidRPr="00000000">
              <w:rPr>
                <w:rFonts w:ascii="Google Sans" w:cs="Google Sans" w:eastAsia="Google Sans" w:hAnsi="Google Sans"/>
                <w:i w:val="1"/>
                <w:iCs w:val="1"/>
                <w:color w:val="1f1f1f"/>
                <w:shd w:fill="auto" w:val="clear"/>
                <w:rtl w:val="0"/>
              </w:rPr>
              <w:t xml:space="preserve">wrappers</w:t>
            </w:r>
            <w:r w:rsidDel="00000000" w:rsidR="00000000" w:rsidRPr="00000000">
              <w:rPr>
                <w:rFonts w:ascii="Google Sans" w:cs="Google Sans" w:eastAsia="Google Sans" w:hAnsi="Google Sans"/>
                <w:color w:val="1f1f1f"/>
                <w:shd w:fill="auto" w:val="clear"/>
                <w:rtl w:val="0"/>
              </w:rPr>
              <w:t xml:space="preserve"> de customização (.br-radio, .br-checkbox) instanciadas lendo as respostas ocultadas em input[type] com </w:t>
            </w:r>
            <w:r w:rsidDel="00000000" w:rsidR="00000000" w:rsidRPr="00000000">
              <w:rPr>
                <w:rFonts w:ascii="Google Sans" w:cs="Google Sans" w:eastAsia="Google Sans" w:hAnsi="Google Sans"/>
                <w:i w:val="1"/>
                <w:iCs w:val="1"/>
                <w:color w:val="1f1f1f"/>
                <w:shd w:fill="auto" w:val="clear"/>
                <w:rtl w:val="0"/>
              </w:rPr>
              <w:t xml:space="preserve">display</w:t>
            </w:r>
            <w:r w:rsidDel="00000000" w:rsidR="00000000" w:rsidRPr="00000000">
              <w:rPr>
                <w:rFonts w:ascii="Google Sans" w:cs="Google Sans" w:eastAsia="Google Sans" w:hAnsi="Google Sans"/>
                <w:color w:val="1f1f1f"/>
                <w:shd w:fill="auto" w:val="clear"/>
                <w:rtl w:val="0"/>
              </w:rPr>
              <w:t xml:space="preserve"> dinâmico, repassando os traçados para as camadas gráficas de CSS do Governo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Resguarda o fluxo universal pelo acionamento focado de Teclado, que repousa sobre a mecânica sem interrupção de </w:t>
            </w:r>
            <w:r w:rsidDel="00000000" w:rsidR="00000000" w:rsidRPr="00000000">
              <w:rPr>
                <w:rFonts w:ascii="Google Sans" w:cs="Google Sans" w:eastAsia="Google Sans" w:hAnsi="Google Sans"/>
                <w:i w:val="1"/>
                <w:iCs w:val="1"/>
                <w:color w:val="1f1f1f"/>
                <w:shd w:fill="auto" w:val="clear"/>
                <w:rtl w:val="0"/>
              </w:rPr>
              <w:t xml:space="preserve">Listeners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Gestão Semântica das Modais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Retenção implícita transacional de todo o escopo focável e trancamento temporal do </w:t>
            </w:r>
            <w:r w:rsidDel="00000000" w:rsidR="00000000" w:rsidRPr="00000000">
              <w:rPr>
                <w:rFonts w:ascii="Google Sans" w:cs="Google Sans" w:eastAsia="Google Sans" w:hAnsi="Google Sans"/>
                <w:i w:val="1"/>
                <w:iCs w:val="1"/>
                <w:color w:val="1f1f1f"/>
                <w:shd w:fill="auto" w:val="clear"/>
                <w:rtl w:val="0"/>
              </w:rPr>
              <w:t xml:space="preserve">site</w:t>
            </w:r>
            <w:r w:rsidDel="00000000" w:rsidR="00000000" w:rsidRPr="00000000">
              <w:rPr>
                <w:rFonts w:ascii="Google Sans" w:cs="Google Sans" w:eastAsia="Google Sans" w:hAnsi="Google Sans"/>
                <w:color w:val="1f1f1f"/>
                <w:shd w:fill="auto" w:val="clear"/>
                <w:rtl w:val="0"/>
              </w:rPr>
              <w:t xml:space="preserve"> originário sob pretexto de modais sobrepostas ao body.</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Posicionamento dinâmico e aplicação irrestrita das chancelas em sobreposição </w:t>
            </w:r>
            <w:r w:rsidDel="00000000" w:rsidR="00000000" w:rsidRPr="00000000">
              <w:rPr>
                <w:rFonts w:ascii="Google Sans" w:cs="Google Sans" w:eastAsia="Google Sans" w:hAnsi="Google Sans"/>
                <w:i w:val="1"/>
                <w:iCs w:val="1"/>
                <w:color w:val="1f1f1f"/>
                <w:shd w:fill="auto" w:val="clear"/>
                <w:rtl w:val="0"/>
              </w:rPr>
              <w:t xml:space="preserve">overlay</w:t>
            </w:r>
            <w:r w:rsidDel="00000000" w:rsidR="00000000" w:rsidRPr="00000000">
              <w:rPr>
                <w:rFonts w:ascii="Google Sans" w:cs="Google Sans" w:eastAsia="Google Sans" w:hAnsi="Google Sans"/>
                <w:color w:val="1f1f1f"/>
                <w:shd w:fill="auto" w:val="clear"/>
                <w:rtl w:val="0"/>
              </w:rPr>
              <w:t xml:space="preserve"> bloqueadora, devolvendo a leitura a submissões restritas através do botão circular fa-times ou secundário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Prevenção na confusão transacional e falhas operacionais perante </w:t>
            </w:r>
            <w:r w:rsidDel="00000000" w:rsidR="00000000" w:rsidRPr="00000000">
              <w:rPr>
                <w:rFonts w:ascii="Google Sans" w:cs="Google Sans" w:eastAsia="Google Sans" w:hAnsi="Google Sans"/>
                <w:i w:val="1"/>
                <w:iCs w:val="1"/>
                <w:color w:val="1f1f1f"/>
                <w:shd w:fill="auto" w:val="clear"/>
                <w:rtl w:val="0"/>
              </w:rPr>
              <w:t xml:space="preserve">inputs</w:t>
            </w:r>
            <w:r w:rsidDel="00000000" w:rsidR="00000000" w:rsidRPr="00000000">
              <w:rPr>
                <w:rFonts w:ascii="Google Sans" w:cs="Google Sans" w:eastAsia="Google Sans" w:hAnsi="Google Sans"/>
                <w:color w:val="1f1f1f"/>
                <w:shd w:fill="auto" w:val="clear"/>
                <w:rtl w:val="0"/>
              </w:rPr>
              <w:t xml:space="preserve"> ocultados, guiando a leitura exclusiva de formulário emergente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Componentes de Ação Sistêmica Diferenciada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Modulação imperativa e visual hierarquizada em níveis submissivos às estruturas de submissão.</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Injeções imperativas via JS para classes e atributos como disabled, active e classes de carregamento temporal (loading) atenuando saturações ativas sob camadas estáticas do botões e vetores com aria-label.</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Restrição lógica contra duplas tentativas massivas em </w:t>
            </w:r>
            <w:r w:rsidDel="00000000" w:rsidR="00000000" w:rsidRPr="00000000">
              <w:rPr>
                <w:rFonts w:ascii="Google Sans" w:cs="Google Sans" w:eastAsia="Google Sans" w:hAnsi="Google Sans"/>
                <w:i w:val="1"/>
                <w:iCs w:val="1"/>
                <w:color w:val="1f1f1f"/>
                <w:shd w:fill="auto" w:val="clear"/>
                <w:rtl w:val="0"/>
              </w:rPr>
              <w:t xml:space="preserve">APIs</w:t>
            </w:r>
            <w:r w:rsidDel="00000000" w:rsidR="00000000" w:rsidRPr="00000000">
              <w:rPr>
                <w:rFonts w:ascii="Google Sans" w:cs="Google Sans" w:eastAsia="Google Sans" w:hAnsi="Google Sans"/>
                <w:color w:val="1f1f1f"/>
                <w:shd w:fill="auto" w:val="clear"/>
                <w:rtl w:val="0"/>
              </w:rPr>
              <w:t xml:space="preserve"> frágeis ou lentas, impedindo corrupções destrutivas inter-telas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Adequação Institucional Absoluta Padrão Mínimo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Engastamento rígido do layout governamental com os marcos estéticos limítrofes ao começo e na retaguarda da ferramenta Web</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Implementação via divisões .br-header.compact operando construtores lógicos, e remate nas estruturas do .br-footer suportados pelos agrupadores responsivos flexíveis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Autenticação fiduciária para a federação brasileira; atesta credibilidade e evita contestações na soberania de ambientes oficiais no ciclo acadêmico público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Auditoria da Acessibilidade Contínua Interativa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Salto operacional obrigatório nas marcações recorrentes do topo, atrelados às mensagens orientadoras na rede responsiva com contrastes dinâmicos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Construção da arquitetura lógica sob atributos invisíveis em estado latente do Skip Link e mensagens .br-message ativadas via injeções baseadas no marcador semântico de tela role="alert"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Suporte obrigatório de acesso perante exigências estipuladas ao Padrão Mínimo regido pelas avaliações regulatórias nos conselhos de design público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integração holística e pragmática destas diretrizes transformará a base arquitetural nativa do Gerador de PPC numa extensão indissociável, robusta e escalável, ancorada irrefutavelmente ao Padrão Digital do Governo Federal, assegurando conformidade analítica, excelência operativa, acessibilidade global na federação, e a garantia fiduciária plena almejada por gestões digitalizadas e eficientes.</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Nota Informativa SEI nº 23755/2022/ME INTERESSADO(S): Secretário de Governo Digital ASSUNTO - Portal Gov.br, </w:t>
      </w:r>
      <w:hyperlink r:id="rId6">
        <w:r w:rsidDel="00000000" w:rsidR="00000000" w:rsidRPr="00000000">
          <w:rPr>
            <w:rFonts w:ascii="Google Sans" w:cs="Google Sans" w:eastAsia="Google Sans" w:hAnsi="Google Sans"/>
            <w:color w:val="0000ee"/>
            <w:sz w:val="24"/>
            <w:szCs w:val="24"/>
            <w:u w:val="single"/>
            <w:rtl w:val="0"/>
          </w:rPr>
          <w:t xml:space="preserve">https://www.gov.br/governodigital/pt-br/acessibilidade-e-usuario/acessibilidade-digital/padroes-web-em-governo-eletronico/Nota_Informativa_23755.pdf</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UNIVERSIDADE FEDERAL DE PERNAMBUCO CENTRO ... - RI UFPE, </w:t>
      </w:r>
      <w:hyperlink r:id="rId7">
        <w:r w:rsidDel="00000000" w:rsidR="00000000" w:rsidRPr="00000000">
          <w:rPr>
            <w:rFonts w:ascii="Google Sans" w:cs="Google Sans" w:eastAsia="Google Sans" w:hAnsi="Google Sans"/>
            <w:color w:val="0000ee"/>
            <w:sz w:val="24"/>
            <w:szCs w:val="24"/>
            <w:u w:val="single"/>
            <w:rtl w:val="0"/>
          </w:rPr>
          <w:t xml:space="preserve">https://repositorio.ufpe.br/bitstream/123456789/58555/1/DISSERTA%C3%87%C3%83O%20Patricia%20Morales%20Anastacio.pdf</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rFonts w:ascii="Google Sans" w:cs="Google Sans" w:eastAsia="Google Sans" w:hAnsi="Google Sans"/>
            <w:color w:val="0000ee"/>
            <w:sz w:val="24"/>
            <w:szCs w:val="24"/>
            <w:u w:val="single"/>
            <w:rtl w:val="0"/>
          </w:rPr>
          <w:t xml:space="preserve">https://www.gov.br/ds/introducao/padrao-minimo</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Padrão Digital de Governo - Design System - Portal Gov.br, </w:t>
      </w:r>
      <w:hyperlink r:id="rId9">
        <w:r w:rsidDel="00000000" w:rsidR="00000000" w:rsidRPr="00000000">
          <w:rPr>
            <w:rFonts w:ascii="Google Sans" w:cs="Google Sans" w:eastAsia="Google Sans" w:hAnsi="Google Sans"/>
            <w:color w:val="0000ee"/>
            <w:sz w:val="24"/>
            <w:szCs w:val="24"/>
            <w:u w:val="single"/>
            <w:rtl w:val="0"/>
          </w:rPr>
          <w:t xml:space="preserve">http://dsgov.estaleiro.serpro.gov.br/</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Padrão Digital de Governo - Como começar - Fluxo de Desenvolvimento - Portal Gov.br, </w:t>
      </w:r>
      <w:hyperlink r:id="rId10">
        <w:r w:rsidDel="00000000" w:rsidR="00000000" w:rsidRPr="00000000">
          <w:rPr>
            <w:rFonts w:ascii="Google Sans" w:cs="Google Sans" w:eastAsia="Google Sans" w:hAnsi="Google Sans"/>
            <w:color w:val="0000ee"/>
            <w:sz w:val="24"/>
            <w:szCs w:val="24"/>
            <w:u w:val="single"/>
            <w:rtl w:val="0"/>
          </w:rPr>
          <w:t xml:space="preserve">https://www.gov.br/ds/como-comecar/fluxo-dev</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Roteiro para uso do Design System - GOVBR-DS WIKI - GitLab, </w:t>
      </w:r>
      <w:hyperlink r:id="rId11">
        <w:r w:rsidDel="00000000" w:rsidR="00000000" w:rsidRPr="00000000">
          <w:rPr>
            <w:rFonts w:ascii="Google Sans" w:cs="Google Sans" w:eastAsia="Google Sans" w:hAnsi="Google Sans"/>
            <w:color w:val="0000ee"/>
            <w:sz w:val="24"/>
            <w:szCs w:val="24"/>
            <w:u w:val="single"/>
            <w:rtl w:val="0"/>
          </w:rPr>
          <w:t xml:space="preserve">https://govbr-ds.gitlab.io/tools/govbr-ds-wiki/desenvolvimento/guias/roteiro/</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Padrão Digital de Governo - Guias e Boas Práticas - Codificação Sass - Portal Gov.br, </w:t>
      </w:r>
      <w:hyperlink r:id="rId12">
        <w:r w:rsidDel="00000000" w:rsidR="00000000" w:rsidRPr="00000000">
          <w:rPr>
            <w:rFonts w:ascii="Google Sans" w:cs="Google Sans" w:eastAsia="Google Sans" w:hAnsi="Google Sans"/>
            <w:color w:val="0000ee"/>
            <w:sz w:val="24"/>
            <w:szCs w:val="24"/>
            <w:u w:val="single"/>
            <w:rtl w:val="0"/>
          </w:rPr>
          <w:t xml:space="preserve">https://www.gov.br/ds/guias/codificacao-sass</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public/css/dsgov.min.css · v1.4.12 · José Arruda / teste rep publico - GitLab, </w:t>
      </w:r>
      <w:hyperlink r:id="rId13">
        <w:r w:rsidDel="00000000" w:rsidR="00000000" w:rsidRPr="00000000">
          <w:rPr>
            <w:rFonts w:ascii="Google Sans" w:cs="Google Sans" w:eastAsia="Google Sans" w:hAnsi="Google Sans"/>
            <w:color w:val="0000ee"/>
            <w:sz w:val="24"/>
            <w:szCs w:val="24"/>
            <w:u w:val="single"/>
            <w:rtl w:val="0"/>
          </w:rPr>
          <w:t xml:space="preserve">https://git.cetene.gov.br/jose.arruda/teste-rep-publico/-/blob/v1.4.12/public/css/dsgov.min.css?ref_type=tags</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django-dsgovbr · PyPI, </w:t>
      </w:r>
      <w:hyperlink r:id="rId14">
        <w:r w:rsidDel="00000000" w:rsidR="00000000" w:rsidRPr="00000000">
          <w:rPr>
            <w:rFonts w:ascii="Google Sans" w:cs="Google Sans" w:eastAsia="Google Sans" w:hAnsi="Google Sans"/>
            <w:color w:val="0000ee"/>
            <w:sz w:val="24"/>
            <w:szCs w:val="24"/>
            <w:u w:val="single"/>
            <w:rtl w:val="0"/>
          </w:rPr>
          <w:t xml:space="preserve">https://pypi.org/project/django-dsgovbr/5.2.4/</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servicos.css — Instituto Nacional da Propriedade Industrial - Portal Gov.br, </w:t>
      </w:r>
      <w:hyperlink r:id="rId15">
        <w:r w:rsidDel="00000000" w:rsidR="00000000" w:rsidRPr="00000000">
          <w:rPr>
            <w:rFonts w:ascii="Google Sans" w:cs="Google Sans" w:eastAsia="Google Sans" w:hAnsi="Google Sans"/>
            <w:color w:val="0000ee"/>
            <w:sz w:val="24"/>
            <w:szCs w:val="24"/>
            <w:u w:val="single"/>
            <w:rtl w:val="0"/>
          </w:rPr>
          <w:t xml:space="preserve">https://www.gov.br/inpi/pt-br/servicos/arquivos/servicos.css/view</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Cores – DESIGN SYSTEM – MS, </w:t>
      </w:r>
      <w:hyperlink r:id="rId16">
        <w:r w:rsidDel="00000000" w:rsidR="00000000" w:rsidRPr="00000000">
          <w:rPr>
            <w:rFonts w:ascii="Google Sans" w:cs="Google Sans" w:eastAsia="Google Sans" w:hAnsi="Google Sans"/>
            <w:color w:val="0000ee"/>
            <w:sz w:val="24"/>
            <w:szCs w:val="24"/>
            <w:u w:val="single"/>
            <w:rtl w:val="0"/>
          </w:rPr>
          <w:t xml:space="preserve">https://www.designsystem.ms.gov.br/cores/</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Gráfico - Padrões - Design System do Governo Federal, </w:t>
      </w:r>
      <w:hyperlink r:id="rId17">
        <w:r w:rsidDel="00000000" w:rsidR="00000000" w:rsidRPr="00000000">
          <w:rPr>
            <w:rFonts w:ascii="Google Sans" w:cs="Google Sans" w:eastAsia="Google Sans" w:hAnsi="Google Sans"/>
            <w:color w:val="0000ee"/>
            <w:sz w:val="24"/>
            <w:szCs w:val="24"/>
            <w:u w:val="single"/>
            <w:rtl w:val="0"/>
          </w:rPr>
          <w:t xml:space="preserve">https://dsgov.estaleiro.serpro.gov.br/padroes/grafico</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 - Design System do Governo Federal - Componentes, </w:t>
      </w:r>
      <w:hyperlink r:id="rId18">
        <w:r w:rsidDel="00000000" w:rsidR="00000000" w:rsidRPr="00000000">
          <w:rPr>
            <w:rFonts w:ascii="Google Sans" w:cs="Google Sans" w:eastAsia="Google Sans" w:hAnsi="Google Sans"/>
            <w:color w:val="0000ee"/>
            <w:sz w:val="24"/>
            <w:szCs w:val="24"/>
            <w:u w:val="single"/>
            <w:rtl w:val="0"/>
          </w:rPr>
          <w:t xml:space="preserve">https://dsgov.estaleiro.serpro.gov.br/components/select</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Template Base - Design System do Governo Federal - Serpro, </w:t>
      </w:r>
      <w:hyperlink r:id="rId19">
        <w:r w:rsidDel="00000000" w:rsidR="00000000" w:rsidRPr="00000000">
          <w:rPr>
            <w:rFonts w:ascii="Google Sans" w:cs="Google Sans" w:eastAsia="Google Sans" w:hAnsi="Google Sans"/>
            <w:color w:val="0000ee"/>
            <w:sz w:val="24"/>
            <w:szCs w:val="24"/>
            <w:u w:val="single"/>
            <w:rtl w:val="0"/>
          </w:rPr>
          <w:t xml:space="preserve">https://dsgov.estaleiro.serpro.gov.br/templates/base?tab=desenvolvedor</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hyperlink r:id="rId20">
        <w:r w:rsidDel="00000000" w:rsidR="00000000" w:rsidRPr="00000000">
          <w:rPr>
            <w:rFonts w:ascii="Google Sans" w:cs="Google Sans" w:eastAsia="Google Sans" w:hAnsi="Google Sans"/>
            <w:color w:val="0000ee"/>
            <w:sz w:val="24"/>
            <w:szCs w:val="24"/>
            <w:u w:val="single"/>
            <w:rtl w:val="0"/>
          </w:rPr>
          <w:t xml:space="preserve">https://www.gov.br/ds/padroes/design/formulario</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Padrão Digital de Governo - Componentes - Input - Portal Gov.br, </w:t>
      </w:r>
      <w:hyperlink r:id="rId21">
        <w:r w:rsidDel="00000000" w:rsidR="00000000" w:rsidRPr="00000000">
          <w:rPr>
            <w:rFonts w:ascii="Google Sans" w:cs="Google Sans" w:eastAsia="Google Sans" w:hAnsi="Google Sans"/>
            <w:color w:val="0000ee"/>
            <w:sz w:val="24"/>
            <w:szCs w:val="24"/>
            <w:u w:val="single"/>
            <w:rtl w:val="0"/>
          </w:rPr>
          <w:t xml:space="preserve">https://www.gov.br/ds/components/input</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Padrão Digital de Governo - Templates - Template Base - Portal Gov.br, </w:t>
      </w:r>
      <w:hyperlink r:id="rId22">
        <w:r w:rsidDel="00000000" w:rsidR="00000000" w:rsidRPr="00000000">
          <w:rPr>
            <w:rFonts w:ascii="Google Sans" w:cs="Google Sans" w:eastAsia="Google Sans" w:hAnsi="Google Sans"/>
            <w:color w:val="0000ee"/>
            <w:sz w:val="24"/>
            <w:szCs w:val="24"/>
            <w:u w:val="single"/>
            <w:rtl w:val="0"/>
          </w:rPr>
          <w:t xml:space="preserve">https://www.gov.br/ds/templates/base</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Componentes - Table - Design System do Governo Federal, </w:t>
      </w:r>
      <w:hyperlink r:id="rId23">
        <w:r w:rsidDel="00000000" w:rsidR="00000000" w:rsidRPr="00000000">
          <w:rPr>
            <w:rFonts w:ascii="Google Sans" w:cs="Google Sans" w:eastAsia="Google Sans" w:hAnsi="Google Sans"/>
            <w:color w:val="0000ee"/>
            <w:sz w:val="24"/>
            <w:szCs w:val="24"/>
            <w:u w:val="single"/>
            <w:rtl w:val="0"/>
          </w:rPr>
          <w:t xml:space="preserve">https://dsgov.estaleiro.serpro.gov.br/components/table</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Padrão Digital de Governo - Componentes - Select - Portal Gov.br, </w:t>
      </w:r>
      <w:hyperlink r:id="rId24">
        <w:r w:rsidDel="00000000" w:rsidR="00000000" w:rsidRPr="00000000">
          <w:rPr>
            <w:rFonts w:ascii="Google Sans" w:cs="Google Sans" w:eastAsia="Google Sans" w:hAnsi="Google Sans"/>
            <w:color w:val="0000ee"/>
            <w:sz w:val="24"/>
            <w:szCs w:val="24"/>
            <w:u w:val="single"/>
            <w:rtl w:val="0"/>
          </w:rPr>
          <w:t xml:space="preserve">https://www.gov.br/ds/components/select</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Listing code - politeknik negeri sriwijaya, </w:t>
      </w:r>
      <w:hyperlink r:id="rId25">
        <w:r w:rsidDel="00000000" w:rsidR="00000000" w:rsidRPr="00000000">
          <w:rPr>
            <w:rFonts w:ascii="Google Sans" w:cs="Google Sans" w:eastAsia="Google Sans" w:hAnsi="Google Sans"/>
            <w:color w:val="0000ee"/>
            <w:sz w:val="24"/>
            <w:szCs w:val="24"/>
            <w:u w:val="single"/>
            <w:rtl w:val="0"/>
          </w:rPr>
          <w:t xml:space="preserve">http://eprints.polsri.ac.id/14738/8/File%20%20%28LISTING%20CODE%29.pdf</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responsive search form with CSS | Reintech media, </w:t>
      </w:r>
      <w:hyperlink r:id="rId26">
        <w:r w:rsidDel="00000000" w:rsidR="00000000" w:rsidRPr="00000000">
          <w:rPr>
            <w:rFonts w:ascii="Google Sans" w:cs="Google Sans" w:eastAsia="Google Sans" w:hAnsi="Google Sans"/>
            <w:color w:val="0000ee"/>
            <w:sz w:val="24"/>
            <w:szCs w:val="24"/>
            <w:u w:val="single"/>
            <w:rtl w:val="0"/>
          </w:rPr>
          <w:t xml:space="preserve">https://reintech.io/blog/creating-responsive-search-form-css</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Padrão Digital de Governo - Componentes - Accordion - Portal Gov.br, </w:t>
      </w:r>
      <w:hyperlink r:id="rId27">
        <w:r w:rsidDel="00000000" w:rsidR="00000000" w:rsidRPr="00000000">
          <w:rPr>
            <w:rFonts w:ascii="Google Sans" w:cs="Google Sans" w:eastAsia="Google Sans" w:hAnsi="Google Sans"/>
            <w:color w:val="0000ee"/>
            <w:sz w:val="24"/>
            <w:szCs w:val="24"/>
            <w:u w:val="single"/>
            <w:rtl w:val="0"/>
          </w:rPr>
          <w:t xml:space="preserve">https://www.gov.br/ds/components/accordion</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Padrão Digital de Governo - Componentes - Tooltip - Portal Gov.br, </w:t>
      </w:r>
      <w:hyperlink r:id="rId28">
        <w:r w:rsidDel="00000000" w:rsidR="00000000" w:rsidRPr="00000000">
          <w:rPr>
            <w:rFonts w:ascii="Google Sans" w:cs="Google Sans" w:eastAsia="Google Sans" w:hAnsi="Google Sans"/>
            <w:color w:val="0000ee"/>
            <w:sz w:val="24"/>
            <w:szCs w:val="24"/>
            <w:u w:val="single"/>
            <w:rtl w:val="0"/>
          </w:rPr>
          <w:t xml:space="preserve">https://www.gov.br/ds/components/tooltip</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Componentes - Button - Design System do Governo Federal, </w:t>
      </w:r>
      <w:hyperlink r:id="rId29">
        <w:r w:rsidDel="00000000" w:rsidR="00000000" w:rsidRPr="00000000">
          <w:rPr>
            <w:rFonts w:ascii="Google Sans" w:cs="Google Sans" w:eastAsia="Google Sans" w:hAnsi="Google Sans"/>
            <w:color w:val="0000ee"/>
            <w:sz w:val="24"/>
            <w:szCs w:val="24"/>
            <w:u w:val="single"/>
            <w:rtl w:val="0"/>
          </w:rPr>
          <w:t xml:space="preserve">https://dsgov.estaleiro.serpro.gov.br/components/button</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Componentes - Modal - Design System do Governo Federal, </w:t>
      </w:r>
      <w:hyperlink r:id="rId30">
        <w:r w:rsidDel="00000000" w:rsidR="00000000" w:rsidRPr="00000000">
          <w:rPr>
            <w:rFonts w:ascii="Google Sans" w:cs="Google Sans" w:eastAsia="Google Sans" w:hAnsi="Google Sans"/>
            <w:color w:val="0000ee"/>
            <w:sz w:val="24"/>
            <w:szCs w:val="24"/>
            <w:u w:val="single"/>
            <w:rtl w:val="0"/>
          </w:rPr>
          <w:t xml:space="preserve">https://dsgov.estaleiro.serpro.gov.br/components/modal</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DSGOV - Components - Sign-in · GitHub, </w:t>
      </w:r>
      <w:hyperlink r:id="rId31">
        <w:r w:rsidDel="00000000" w:rsidR="00000000" w:rsidRPr="00000000">
          <w:rPr>
            <w:rFonts w:ascii="Google Sans" w:cs="Google Sans" w:eastAsia="Google Sans" w:hAnsi="Google Sans"/>
            <w:color w:val="0000ee"/>
            <w:sz w:val="24"/>
            <w:szCs w:val="24"/>
            <w:u w:val="single"/>
            <w:rtl w:val="0"/>
          </w:rPr>
          <w:t xml:space="preserve">https://gist.github.com/kyriosdata/91e0288b27c22d96836eaf45c47f5470</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Skip Link - Design System do Governo Federal - Componentes, </w:t>
      </w:r>
      <w:hyperlink r:id="rId32">
        <w:r w:rsidDel="00000000" w:rsidR="00000000" w:rsidRPr="00000000">
          <w:rPr>
            <w:rFonts w:ascii="Google Sans" w:cs="Google Sans" w:eastAsia="Google Sans" w:hAnsi="Google Sans"/>
            <w:color w:val="0000ee"/>
            <w:sz w:val="24"/>
            <w:szCs w:val="24"/>
            <w:u w:val="single"/>
            <w:rtl w:val="0"/>
          </w:rPr>
          <w:t xml:space="preserve">https://dsgov.estaleiro.serpro.gov.br/components/skiplink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v.br/ds/padroes/design/formulario" TargetMode="External"/><Relationship Id="rId22" Type="http://schemas.openxmlformats.org/officeDocument/2006/relationships/hyperlink" Target="https://www.gov.br/ds/templates/base" TargetMode="External"/><Relationship Id="rId21" Type="http://schemas.openxmlformats.org/officeDocument/2006/relationships/hyperlink" Target="https://www.gov.br/ds/components/input" TargetMode="External"/><Relationship Id="rId24" Type="http://schemas.openxmlformats.org/officeDocument/2006/relationships/hyperlink" Target="https://www.gov.br/ds/components/select" TargetMode="External"/><Relationship Id="rId23" Type="http://schemas.openxmlformats.org/officeDocument/2006/relationships/hyperlink" Target="https://dsgov.estaleiro.serpro.gov.br/components/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sgov.estaleiro.serpro.gov.br/" TargetMode="External"/><Relationship Id="rId26" Type="http://schemas.openxmlformats.org/officeDocument/2006/relationships/hyperlink" Target="https://reintech.io/blog/creating-responsive-search-form-css" TargetMode="External"/><Relationship Id="rId25" Type="http://schemas.openxmlformats.org/officeDocument/2006/relationships/hyperlink" Target="http://eprints.polsri.ac.id/14738/8/File%20%20%28LISTING%20CODE%29.pdf" TargetMode="External"/><Relationship Id="rId28" Type="http://schemas.openxmlformats.org/officeDocument/2006/relationships/hyperlink" Target="https://www.gov.br/ds/components/tooltip" TargetMode="External"/><Relationship Id="rId27" Type="http://schemas.openxmlformats.org/officeDocument/2006/relationships/hyperlink" Target="https://www.gov.br/ds/components/accordion" TargetMode="External"/><Relationship Id="rId5" Type="http://schemas.openxmlformats.org/officeDocument/2006/relationships/styles" Target="styles.xml"/><Relationship Id="rId6" Type="http://schemas.openxmlformats.org/officeDocument/2006/relationships/hyperlink" Target="https://www.gov.br/governodigital/pt-br/acessibilidade-e-usuario/acessibilidade-digital/padroes-web-em-governo-eletronico/Nota_Informativa_23755.pdf" TargetMode="External"/><Relationship Id="rId29" Type="http://schemas.openxmlformats.org/officeDocument/2006/relationships/hyperlink" Target="https://dsgov.estaleiro.serpro.gov.br/components/button" TargetMode="External"/><Relationship Id="rId7" Type="http://schemas.openxmlformats.org/officeDocument/2006/relationships/hyperlink" Target="https://repositorio.ufpe.br/bitstream/123456789/58555/1/DISSERTA%C3%87%C3%83O%20Patricia%20Morales%20Anastacio.pdf" TargetMode="External"/><Relationship Id="rId8" Type="http://schemas.openxmlformats.org/officeDocument/2006/relationships/hyperlink" Target="https://www.gov.br/ds/introducao/padrao-minimo" TargetMode="External"/><Relationship Id="rId31" Type="http://schemas.openxmlformats.org/officeDocument/2006/relationships/hyperlink" Target="https://gist.github.com/kyriosdata/91e0288b27c22d96836eaf45c47f5470" TargetMode="External"/><Relationship Id="rId30" Type="http://schemas.openxmlformats.org/officeDocument/2006/relationships/hyperlink" Target="https://dsgov.estaleiro.serpro.gov.br/components/modal" TargetMode="External"/><Relationship Id="rId11" Type="http://schemas.openxmlformats.org/officeDocument/2006/relationships/hyperlink" Target="https://govbr-ds.gitlab.io/tools/govbr-ds-wiki/desenvolvimento/guias/roteiro/" TargetMode="External"/><Relationship Id="rId10" Type="http://schemas.openxmlformats.org/officeDocument/2006/relationships/hyperlink" Target="https://www.gov.br/ds/como-comecar/fluxo-dev" TargetMode="External"/><Relationship Id="rId32" Type="http://schemas.openxmlformats.org/officeDocument/2006/relationships/hyperlink" Target="https://dsgov.estaleiro.serpro.gov.br/components/skiplink" TargetMode="External"/><Relationship Id="rId13" Type="http://schemas.openxmlformats.org/officeDocument/2006/relationships/hyperlink" Target="https://git.cetene.gov.br/jose.arruda/teste-rep-publico/-/blob/v1.4.12/public/css/dsgov.min.css?ref_type=tags" TargetMode="External"/><Relationship Id="rId12" Type="http://schemas.openxmlformats.org/officeDocument/2006/relationships/hyperlink" Target="https://www.gov.br/ds/guias/codificacao-sass" TargetMode="External"/><Relationship Id="rId15" Type="http://schemas.openxmlformats.org/officeDocument/2006/relationships/hyperlink" Target="https://www.gov.br/inpi/pt-br/servicos/arquivos/servicos.css/view" TargetMode="External"/><Relationship Id="rId14" Type="http://schemas.openxmlformats.org/officeDocument/2006/relationships/hyperlink" Target="https://pypi.org/project/django-dsgovbr/5.2.4/" TargetMode="External"/><Relationship Id="rId17" Type="http://schemas.openxmlformats.org/officeDocument/2006/relationships/hyperlink" Target="https://dsgov.estaleiro.serpro.gov.br/padroes/grafico" TargetMode="External"/><Relationship Id="rId16" Type="http://schemas.openxmlformats.org/officeDocument/2006/relationships/hyperlink" Target="https://www.designsystem.ms.gov.br/cores/" TargetMode="External"/><Relationship Id="rId19" Type="http://schemas.openxmlformats.org/officeDocument/2006/relationships/hyperlink" Target="https://dsgov.estaleiro.serpro.gov.br/templates/base?tab=desenvolvedor" TargetMode="External"/><Relationship Id="rId18" Type="http://schemas.openxmlformats.org/officeDocument/2006/relationships/hyperlink" Target="https://dsgov.estaleiro.serpro.gov.br/components/sel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