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87e45dmgqfy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4"/>
        <w:gridCol w:w="7796"/>
        <w:tblGridChange w:id="0">
          <w:tblGrid>
            <w:gridCol w:w="1984"/>
            <w:gridCol w:w="7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Fracianna Shantal Aro González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en conectividad y redes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33"/>
        <w:gridCol w:w="1282"/>
        <w:gridCol w:w="1051"/>
        <w:gridCol w:w="1171"/>
        <w:gridCol w:w="1454"/>
        <w:gridCol w:w="1185"/>
        <w:gridCol w:w="1947"/>
        <w:tblGridChange w:id="0">
          <w:tblGrid>
            <w:gridCol w:w="1833"/>
            <w:gridCol w:w="1282"/>
            <w:gridCol w:w="1051"/>
            <w:gridCol w:w="1171"/>
            <w:gridCol w:w="1454"/>
            <w:gridCol w:w="1185"/>
            <w:gridCol w:w="194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Realizar y controlar labores de soporte computacional y de redes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soluciones de conectividad utilizando las tendencias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de redes y telecomunicaciones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redes en empresas de distinto tamaño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labores de unificación de las comunicaciones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adaptar soluciones innovadoras de colaboración digital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proponer soluciones de los diversos medios de transmisión y gestionar la ciberseguridad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trabajar en equipo, resolver problemas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capacidad de aprender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actualizarse permanentemente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0x01010095F927E5C3EA8D46BED5E3456E2741E0</vt:lpwstr>
  </property>
</Properties>
</file>