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Hortas verticais em escolas públicas</w:t>
      </w:r>
    </w:p>
    <w:p>
      <w:pPr>
        <w:spacing w:after="160"/>
      </w:pPr>
      <w:r>
        <w:t xml:space="preserve">Este texto fictício, criado para testes, resume um programa piloto de hortas verticais conduzido entre março e setembro de 2024 em três escolas municipais, sob coordenação do engenheiro agrônomo Caetano Brandão.</w:t>
      </w:r>
    </w:p>
    <w:p>
      <w:pPr>
        <w:pStyle w:val="Heading2"/>
      </w:pPr>
      <w:r>
        <w:t xml:space="preserve">Metodologia</w:t>
      </w:r>
    </w:p>
    <w:p>
      <w:pPr>
        <w:spacing w:after="160"/>
      </w:pPr>
      <w:r>
        <w:t xml:space="preserve">Cada escola recebeu 20 módulos verticais feitos de garrafas PET reaproveitadas. Os alunos do 5º ano foram responsáveis pela rega, que ocorria duas vezes por semana, e pelo registro do crescimento das plantas em cadernos de campo.</w:t>
      </w:r>
    </w:p>
    <w:p>
      <w:pPr>
        <w:pStyle w:val="Heading2"/>
      </w:pPr>
      <w:r>
        <w:t xml:space="preserve">Resultados</w:t>
      </w:r>
    </w:p>
    <w:p>
      <w:pPr>
        <w:spacing w:after="160"/>
      </w:pPr>
      <w:r>
        <w:t xml:space="preserve">A alface crespa foi a cultura mais bem-sucedida, com ciclo médio de 38 dias entre o plantio e a colheita. A taxa de sobrevivência das mudas foi de 91%. Toda a produção foi destinada à merenda escolar.</w:t>
      </w:r>
    </w:p>
    <w:p>
      <w:pPr>
        <w:pStyle w:val="Heading2"/>
      </w:pPr>
      <w:r>
        <w:t xml:space="preserve">Produção por escola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Escola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Cultura principal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Produção total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Escola Municipal Rio Claro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Alface crespa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62 kg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Escola Municipal Santa Aurora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Cebolinha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 kg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Escola Municipal Pedra Branca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Manjericão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 kg</w:t>
            </w:r>
          </w:p>
        </w:tc>
      </w:tr>
    </w:tbl>
    <w:p>
      <w:pPr>
        <w:spacing w:after="160" w:before="200"/>
      </w:pPr>
      <w:r>
        <w:t xml:space="preserve">Conclusão: o coordenador recomenda ampliar o programa para mais 10 escolas em 2025, incluindo capacitação para professores.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2026-10-22T18:25:00.869Z</dcterms:created>
  <dcterms:modified xsi:type="dcterms:W3CDTF">2026-10-22T18:25:00.874Z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