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Métodos que combinam modelos gerados por um único algoritmo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maioria das estratégias manipula o CT para gerar múltiplas hipóteses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Essa técnica funciona bem para algoritmos de aprendizado instáveis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Podem ser agrupados por: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amostragem dos objetos, amostragem dos atributos,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injeção de aleatoriedade e perturbação dos exemplos de teste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-Métodos Baseados em Amostragem dos Exemplos de Treinamento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Bootstrap Aggregation  - Bagging</w:t>
      </w:r>
      <w:r w:rsidDel="00000000" w:rsidR="00000000" w:rsidRPr="00000000">
        <w:rPr>
          <w:rtl w:val="0"/>
        </w:rPr>
        <w:t xml:space="preserve"> (Breiman, 1996)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Produz replicações do CT por amostragem com reposição (duplica exemplos nas amostras)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Usa o voto majoritário de diferentes hipóteses para contornar problema de instabilidade.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Perde-se a estrutura simples e interpretável das árvores, ganha-se aumento de precisão.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Classificadores Fracos e Fortes: Boosting </w:t>
      </w:r>
      <w:r w:rsidDel="00000000" w:rsidR="00000000" w:rsidRPr="00000000">
        <w:rPr>
          <w:rtl w:val="0"/>
        </w:rPr>
        <w:t xml:space="preserve">(Schapire, 1990)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Consiste em associar um peso para cada exemplo no CT que reflete sua importância. Os pesos são ajustados de acordo com o desempenho do conjunto de classificadores aprendidos até essa iteração.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