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r>
        <w:rPr>
          <w:lang w:val="pt-PT"/>
        </w:rPr>
        <w:t>Metrics: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Book Value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Price-to-Book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>Vamos interpretar esses números: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1. Book Value (Valor Contábil)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Como interpretar esse número?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r w:rsidRPr="00756335">
        <w:t>Isso pode ocorrer porque: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Comparação com o Setor</w:t>
      </w:r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 xml:space="preserve">Empresas de tecnologia e crescimento acelerado podem ter P/Bs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r w:rsidRPr="00756335">
        <w:rPr>
          <w:b/>
          <w:bCs/>
          <w:lang w:val="pt-PT"/>
        </w:rPr>
        <w:t>startups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r w:rsidRPr="00AD2A98">
        <w:rPr>
          <w:b/>
          <w:bCs/>
          <w:lang w:val="pt-PT"/>
        </w:rPr>
        <w:t>Trailing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O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(Price/Earnings to Growth)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r w:rsidRPr="00AD2A98">
        <w:t>  Ele é calculado como: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PEGs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r w:rsidRPr="0098514B">
        <w:rPr>
          <w:b/>
          <w:bCs/>
          <w:lang w:val="pt-PT"/>
        </w:rPr>
        <w:t>Quick Ratio (Índice de Liquidez Seca)</w:t>
      </w:r>
      <w:r w:rsidRPr="0098514B">
        <w:rPr>
          <w:lang w:val="pt-PT"/>
        </w:rPr>
        <w:t xml:space="preserve"> e </w:t>
      </w:r>
      <w:r w:rsidRPr="0098514B">
        <w:rPr>
          <w:b/>
          <w:bCs/>
          <w:lang w:val="pt-PT"/>
        </w:rPr>
        <w:t>Current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(Liquidez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r w:rsidRPr="0098514B">
        <w:rPr>
          <w:b/>
          <w:bCs/>
          <w:lang w:val="pt-PT"/>
        </w:rPr>
        <w:t>Quick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r w:rsidRPr="0098514B">
        <w:t xml:space="preserve">  </w:t>
      </w:r>
      <w:r w:rsidRPr="0098514B">
        <w:rPr>
          <w:b/>
          <w:bCs/>
        </w:rPr>
        <w:t>Interpretação</w:t>
      </w:r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(Liquidez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r w:rsidRPr="0098514B">
        <w:rPr>
          <w:b/>
          <w:bCs/>
          <w:lang w:val="pt-PT"/>
        </w:rPr>
        <w:t>Current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r w:rsidRPr="0098514B">
        <w:t xml:space="preserve">  </w:t>
      </w:r>
      <w:r w:rsidRPr="0098514B">
        <w:rPr>
          <w:b/>
          <w:bCs/>
        </w:rPr>
        <w:t>Interpretação</w:t>
      </w:r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prazo.</w:t>
      </w:r>
      <w:r w:rsidRPr="0098514B">
        <w:rPr>
          <w:b/>
          <w:bCs/>
          <w:lang w:val="pt-PT"/>
        </w:rPr>
        <w:t>Ela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r w:rsidRPr="0098514B">
        <w:rPr>
          <w:b/>
          <w:bCs/>
          <w:lang w:val="pt-PT"/>
        </w:rPr>
        <w:t>Payout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r w:rsidRPr="0098514B">
        <w:rPr>
          <w:b/>
          <w:bCs/>
          <w:lang w:val="pt-PT"/>
        </w:rPr>
        <w:t>porcentagem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payout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>, pode ser melhor procurar empresas com payout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r w:rsidRPr="002F75AD">
              <w:t>Inclui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r w:rsidRPr="002F75AD">
              <w:rPr>
                <w:b/>
                <w:bCs/>
              </w:rPr>
              <w:t>Positivo e crescente</w:t>
            </w:r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r w:rsidRPr="002F75AD">
        <w:rPr>
          <w:b/>
          <w:bCs/>
        </w:rPr>
        <w:t>Atenção: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Quick Ratio</w:t>
      </w:r>
      <w:r w:rsidRPr="002F75AD">
        <w:rPr>
          <w:lang w:val="pt-PT"/>
        </w:rPr>
        <w:t xml:space="preserve"> é mais rigoroso que o </w:t>
      </w:r>
      <w:r w:rsidRPr="002F75AD">
        <w:rPr>
          <w:b/>
          <w:bCs/>
          <w:lang w:val="pt-PT"/>
        </w:rPr>
        <w:t>Current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r w:rsidRPr="002F75AD">
        <w:rPr>
          <w:lang w:val="pt-PT"/>
        </w:rPr>
        <w:t>KPIs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r w:rsidRPr="002F75AD">
        <w:rPr>
          <w:b/>
          <w:bCs/>
        </w:rPr>
        <w:t>Atenção: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r w:rsidRPr="002F75AD">
        <w:rPr>
          <w:b/>
          <w:bCs/>
          <w:lang w:val="pt-PT"/>
        </w:rPr>
        <w:t>Interest Coverage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>Quanto maior, melhor</w:t>
            </w:r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>Quanto maior, melhor</w:t>
            </w:r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r w:rsidRPr="002F75AD">
        <w:t>Eficiência Operacional</w:t>
      </w:r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(Lucro Operacional)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r w:rsidRPr="002F75AD">
              <w:rPr>
                <w:b/>
                <w:bCs/>
              </w:rPr>
              <w:t>Positivo e crescente</w:t>
            </w:r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>De preferência em queda</w:t>
            </w:r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>1. Margem Bruta (Gross Margin)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(Operating Margin)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eficiência operacional.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Margin)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(Profit Margin)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(Return on Assets)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(Return on Equity)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 (para ambos)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Empresa eficiente e rentável.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Desempenho sólido.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r w:rsidRPr="004C58BA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r w:rsidRPr="004C58BA"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r w:rsidRPr="004C58BA">
              <w:rPr>
                <w:b/>
                <w:bCs/>
              </w:rPr>
              <w:t>Relevância</w:t>
            </w:r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r w:rsidRPr="004C58BA">
              <w:rPr>
                <w:b/>
                <w:bCs/>
              </w:rPr>
              <w:t>Essencial</w:t>
            </w:r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r>
        <w:rPr>
          <w:lang w:val="pt-PT"/>
        </w:rPr>
        <w:t>Growth</w:t>
      </w:r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r w:rsidRPr="002A4FF5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r w:rsidRPr="002A4FF5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r w:rsidRPr="002A4FF5">
              <w:rPr>
                <w:b/>
                <w:bCs/>
              </w:rPr>
              <w:t>Importância</w:t>
            </w:r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r w:rsidRPr="002A4FF5">
              <w:rPr>
                <w:b/>
                <w:bCs/>
              </w:rPr>
              <w:t>Crescimento de Receita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(YoY)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Earnings Growth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r w:rsidRPr="002A4FF5">
              <w:rPr>
                <w:b/>
                <w:bCs/>
              </w:rPr>
              <w:t>Essencial</w:t>
            </w:r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>1. Crescimento do EBITDA (EBITDA Growth)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r w:rsidRPr="002A4FF5">
        <w:rPr>
          <w:b/>
          <w:bCs/>
        </w:rPr>
        <w:t>Fórmula: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crescimento operacional.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Crescimento fraco ou instável.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(Operating Cash Flow Growth)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Excelente métrica para empresas maduras.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r w:rsidRPr="002A4FF5">
        <w:rPr>
          <w:b/>
          <w:bCs/>
        </w:rPr>
        <w:t>Fórmula: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crescimento operacional.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Crescimento consistente.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risco de estagnação.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Growth)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r w:rsidRPr="002A4FF5">
        <w:rPr>
          <w:b/>
          <w:bCs/>
        </w:rPr>
        <w:t>Fórmula: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Crescimento sustentável.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Crescimento lento ou baixo.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(Margin Expansion)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>KPIs para monitorar: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Crescimento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r w:rsidRPr="002A4FF5">
        <w:rPr>
          <w:b/>
          <w:bCs/>
        </w:rPr>
        <w:t>Fórmula: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>Aqui está uma explicação clara e objetiva para cada um desses KPIs: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Trailing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r w:rsidRPr="00895D36">
        <w:rPr>
          <w:b/>
          <w:bCs/>
        </w:rPr>
        <w:t>Fórmula: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Ação potencialmente subvalorizada</w:t>
      </w:r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Forward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r w:rsidRPr="00895D36">
        <w:rPr>
          <w:b/>
          <w:bCs/>
        </w:rPr>
        <w:t>Fórmula: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Moderado</w:t>
      </w:r>
      <w:r w:rsidRPr="00895D36">
        <w:t xml:space="preserve"> → Crescimento consistente</w:t>
      </w:r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r w:rsidRPr="00895D36">
        <w:rPr>
          <w:b/>
          <w:bCs/>
          <w:lang w:val="pt-PT"/>
        </w:rPr>
        <w:t>Forward P/E</w:t>
      </w:r>
      <w:r w:rsidRPr="00895D36">
        <w:rPr>
          <w:lang w:val="pt-PT"/>
        </w:rPr>
        <w:t xml:space="preserve"> for significativamente menor que o </w:t>
      </w:r>
      <w:r w:rsidRPr="00895D36">
        <w:rPr>
          <w:b/>
          <w:bCs/>
          <w:lang w:val="pt-PT"/>
        </w:rPr>
        <w:t>Trailing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(Preço/Lucro/Growth)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r w:rsidRPr="00895D36">
        <w:rPr>
          <w:b/>
          <w:bCs/>
        </w:rPr>
        <w:t>Fórmula: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Ação potencialmente subvalorizada</w:t>
      </w:r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(tech, startups).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r w:rsidRPr="00895D36">
        <w:rPr>
          <w:b/>
          <w:bCs/>
        </w:rPr>
        <w:t>Fórmula: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Avaliação razoável</w:t>
      </w:r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r w:rsidRPr="00895D36">
        <w:rPr>
          <w:b/>
          <w:bCs/>
        </w:rPr>
        <w:t>Fórmula: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Ação potencialmente barata</w:t>
      </w:r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Avaliação equilibrada</w:t>
      </w:r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telecom,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r>
        <w:rPr>
          <w:lang w:val="pt-PT"/>
        </w:rPr>
        <w:lastRenderedPageBreak/>
        <w:t>Valuation</w:t>
      </w:r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B34B94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>Indica quanto a empresa retorna em forma de dividendos.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B34B94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Percentual do lucro líquido que é distribuído em dividendos. Um payout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B34B94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>Média de Dividend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Média histórica do dividend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>Como Avaliar Cada Métrica</w:t>
      </w:r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>Alto Dividend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>Baixo Dividend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r w:rsidRPr="0052448E">
        <w:rPr>
          <w:b/>
          <w:bCs/>
          <w:lang w:val="pt-PT"/>
        </w:rPr>
        <w:t>Payout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r w:rsidRPr="0052448E">
        <w:rPr>
          <w:b/>
          <w:bCs/>
          <w:lang w:val="pt-PT"/>
        </w:rPr>
        <w:t>Payout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>Média de Dividend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r>
        <w:rPr>
          <w:lang w:val="pt-PT"/>
        </w:rPr>
        <w:lastRenderedPageBreak/>
        <w:t>Risk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B34B94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B34B94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>Um valor alto pode indicar problemas ou incertezas.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B34B94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>Risco do Conselho</w:t>
            </w:r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B34B94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selling). </w:t>
            </w:r>
            <w:r w:rsidRPr="001B57BC">
              <w:t>Altos valores indicam expectativas negativas dos investidores.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B34B94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r w:rsidRPr="001B57BC">
              <w:rPr>
                <w:b/>
                <w:bCs/>
              </w:rPr>
              <w:t>Recomendação Média</w:t>
            </w:r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B34B94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r w:rsidRPr="001B57BC">
              <w:rPr>
                <w:b/>
                <w:bCs/>
              </w:rPr>
              <w:t>Preço-Alvo Médio</w:t>
            </w:r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>Como Avaliar Cada Métrica</w:t>
      </w:r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Recomendação Média</w:t>
      </w:r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recomendação de compra</w:t>
      </w:r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Neutro ou manter</w:t>
      </w:r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Recomendação de venda</w:t>
      </w:r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recomendação de venda</w:t>
      </w:r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Preço-Alvo Médio</w:t>
      </w:r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Income Statement</w:t>
      </w:r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(YoY Growth)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(YoY Growth):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Interpretação</w:t>
      </w:r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Interpretação</w:t>
      </w:r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r w:rsidRPr="00C56869">
        <w:rPr>
          <w:b/>
          <w:bCs/>
        </w:rPr>
        <w:t xml:space="preserve">cost_of_revenue (Custo das Receitas)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>2024-09-30: -1.77% → Diminuição ligeira.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>2023-09-30: -4.21% → Diminuição significativa.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>2022-09-30: +4.96% → Aumento moderado.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241D34EC">
          <v:rect id="_x0000_i1036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r w:rsidRPr="00C56869">
        <w:rPr>
          <w:b/>
          <w:bCs/>
        </w:rPr>
        <w:t xml:space="preserve">total_revenue (Receitas Totais)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>2024-09-30: +2.02% → Crescimento ligeiro.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>2022-09-30: +7.79% → Crescimento forte neste ano.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0F840CE4">
          <v:rect id="_x0000_i1037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cost_of_revenue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total_revenue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Default="00C56869" w:rsidP="002A4FF5">
      <w:pPr>
        <w:rPr>
          <w:b/>
          <w:bCs/>
          <w:lang w:val="pt-PT"/>
        </w:rPr>
      </w:pPr>
    </w:p>
    <w:p w14:paraId="4AFF9F23" w14:textId="77777777" w:rsidR="00501946" w:rsidRDefault="00501946" w:rsidP="002A4FF5">
      <w:pPr>
        <w:rPr>
          <w:b/>
          <w:bCs/>
          <w:lang w:val="pt-PT"/>
        </w:rPr>
      </w:pPr>
    </w:p>
    <w:p w14:paraId="4A42EFCE" w14:textId="77777777" w:rsidR="00501946" w:rsidRDefault="00501946" w:rsidP="002A4FF5">
      <w:pPr>
        <w:rPr>
          <w:b/>
          <w:bCs/>
          <w:lang w:val="pt-PT"/>
        </w:rPr>
      </w:pPr>
    </w:p>
    <w:p w14:paraId="022DF3F4" w14:textId="77777777" w:rsidR="00501946" w:rsidRDefault="00501946" w:rsidP="002A4FF5">
      <w:pPr>
        <w:rPr>
          <w:b/>
          <w:bCs/>
          <w:lang w:val="pt-PT"/>
        </w:rPr>
      </w:pPr>
    </w:p>
    <w:p w14:paraId="3BC34CFD" w14:textId="77777777" w:rsidR="00501946" w:rsidRDefault="00501946" w:rsidP="002A4FF5">
      <w:pPr>
        <w:rPr>
          <w:b/>
          <w:bCs/>
          <w:lang w:val="pt-PT"/>
        </w:rPr>
      </w:pPr>
    </w:p>
    <w:p w14:paraId="51C61F8A" w14:textId="77777777" w:rsidR="00501946" w:rsidRDefault="00501946" w:rsidP="002A4FF5">
      <w:pPr>
        <w:rPr>
          <w:b/>
          <w:bCs/>
          <w:lang w:val="pt-PT"/>
        </w:rPr>
      </w:pPr>
    </w:p>
    <w:p w14:paraId="09D03029" w14:textId="77777777" w:rsidR="00501946" w:rsidRDefault="00501946" w:rsidP="002A4FF5">
      <w:pPr>
        <w:rPr>
          <w:b/>
          <w:bCs/>
          <w:lang w:val="pt-PT"/>
        </w:rPr>
      </w:pPr>
    </w:p>
    <w:p w14:paraId="5CA664E5" w14:textId="77777777" w:rsidR="00501946" w:rsidRDefault="00501946" w:rsidP="002A4FF5">
      <w:pPr>
        <w:rPr>
          <w:b/>
          <w:bCs/>
          <w:lang w:val="pt-PT"/>
        </w:rPr>
      </w:pPr>
    </w:p>
    <w:p w14:paraId="4B001179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lastRenderedPageBreak/>
        <w:t>O FCF Yield é uma métrica essencial para investidores porque oferece uma visão clara do retorno que uma empresa gera com o fluxo de caixa livre em relação ao seu valor de mercado.</w:t>
      </w:r>
    </w:p>
    <w:p w14:paraId="2F2A9AA6" w14:textId="49E40758" w:rsidR="00501946" w:rsidRDefault="00501946" w:rsidP="002A4FF5">
      <w:pPr>
        <w:rPr>
          <w:b/>
          <w:bCs/>
          <w:lang w:val="pt-PT"/>
        </w:rPr>
      </w:pPr>
      <w:r w:rsidRPr="00501946">
        <w:rPr>
          <w:b/>
          <w:bCs/>
          <w:noProof/>
          <w:lang w:val="pt-PT"/>
        </w:rPr>
        <w:drawing>
          <wp:inline distT="0" distB="0" distL="0" distR="0" wp14:anchorId="4BFA8EBD" wp14:editId="2A99B542">
            <wp:extent cx="3677163" cy="628738"/>
            <wp:effectExtent l="0" t="0" r="0" b="0"/>
            <wp:docPr id="489254069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4069" name="Picture 1" descr="A black and white sig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79A" w14:textId="77777777" w:rsidR="00501946" w:rsidRDefault="00501946" w:rsidP="002A4FF5">
      <w:pPr>
        <w:rPr>
          <w:b/>
          <w:bCs/>
          <w:lang w:val="pt-PT"/>
        </w:rPr>
      </w:pPr>
    </w:p>
    <w:p w14:paraId="11DB77EB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📋</w:t>
      </w:r>
      <w:r w:rsidRPr="00501946">
        <w:rPr>
          <w:b/>
          <w:bCs/>
          <w:lang w:val="pt-PT"/>
        </w:rPr>
        <w:t xml:space="preserve"> Como interpretar o FCF Yield</w:t>
      </w:r>
    </w:p>
    <w:p w14:paraId="2B9425EC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Alto (&gt; 5-7%) — Pode indicar uma ação subvalorizada ou uma empresa altamente lucrativa.</w:t>
      </w:r>
    </w:p>
    <w:p w14:paraId="6D7FA75F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Médio (2-5%) — Indica uma empresa saudável que gera caixa de forma consistente.</w:t>
      </w:r>
    </w:p>
    <w:p w14:paraId="5544E324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Baixo (&lt; 2%) — Pode sinalizar que a empresa está supervalorizada ou que possui dificuldades em gerar caixa.</w:t>
      </w:r>
    </w:p>
    <w:p w14:paraId="4ECAD131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🔺</w:t>
      </w:r>
      <w:r w:rsidRPr="00501946">
        <w:rPr>
          <w:b/>
          <w:bCs/>
          <w:lang w:val="pt-PT"/>
        </w:rPr>
        <w:t xml:space="preserve"> Cuidado: Um FCF Yield alto pode, em alguns casos, ser um sinal de risco se a empresa não for sustentável a longo prazo.</w:t>
      </w:r>
    </w:p>
    <w:p w14:paraId="02E26B61" w14:textId="77777777" w:rsidR="00501946" w:rsidRDefault="00501946" w:rsidP="002A4FF5">
      <w:pPr>
        <w:rPr>
          <w:b/>
          <w:bCs/>
          <w:lang w:val="pt-PT"/>
        </w:rPr>
      </w:pPr>
    </w:p>
    <w:p w14:paraId="30A2EAE8" w14:textId="77777777" w:rsidR="00A73780" w:rsidRDefault="00A73780" w:rsidP="002A4FF5">
      <w:pPr>
        <w:rPr>
          <w:b/>
          <w:bCs/>
          <w:lang w:val="pt-PT"/>
        </w:rPr>
      </w:pPr>
    </w:p>
    <w:p w14:paraId="15E8A031" w14:textId="77777777" w:rsidR="00A73780" w:rsidRDefault="00A73780" w:rsidP="002A4FF5">
      <w:pPr>
        <w:rPr>
          <w:b/>
          <w:bCs/>
          <w:lang w:val="pt-PT"/>
        </w:rPr>
      </w:pPr>
    </w:p>
    <w:p w14:paraId="3E428365" w14:textId="0EE95D35" w:rsidR="00A73780" w:rsidRDefault="00A73780" w:rsidP="002A4FF5">
      <w:pPr>
        <w:rPr>
          <w:b/>
          <w:bCs/>
          <w:lang w:val="pt-PT"/>
        </w:rPr>
      </w:pPr>
      <w:r>
        <w:rPr>
          <w:b/>
          <w:bCs/>
          <w:lang w:val="pt-PT"/>
        </w:rPr>
        <w:t>Padrões Harmonicos</w:t>
      </w:r>
    </w:p>
    <w:p w14:paraId="623723E0" w14:textId="5AF25D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>Regras clássicas do Bat pattern:</w:t>
      </w:r>
    </w:p>
    <w:p w14:paraId="2B5EF2AD" w14:textId="7A8850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A91BAC4" wp14:editId="4095EA01">
            <wp:extent cx="5400040" cy="1263650"/>
            <wp:effectExtent l="0" t="0" r="0" b="0"/>
            <wp:docPr id="127996435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4350" name="Picture 1" descr="A screen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7DB" w14:textId="77777777" w:rsidR="00A73780" w:rsidRDefault="00A73780" w:rsidP="002A4FF5">
      <w:pPr>
        <w:rPr>
          <w:b/>
          <w:bCs/>
          <w:lang w:val="pt-PT"/>
        </w:rPr>
      </w:pPr>
    </w:p>
    <w:p w14:paraId="4B01C496" w14:textId="57E6910E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>Regras clássicas do padrão Gartley:</w:t>
      </w:r>
    </w:p>
    <w:p w14:paraId="7135F1C4" w14:textId="731A73F0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8DEAE94" wp14:editId="02BCDF92">
            <wp:extent cx="5400040" cy="1490980"/>
            <wp:effectExtent l="0" t="0" r="0" b="0"/>
            <wp:docPr id="1004619159" name="Picture 1" descr="A screenshot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9159" name="Picture 1" descr="A screenshot of 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032" w14:textId="4D781A18" w:rsidR="00A73780" w:rsidRDefault="00A73780" w:rsidP="002A4FF5">
      <w:pPr>
        <w:rPr>
          <w:b/>
          <w:bCs/>
        </w:rPr>
      </w:pPr>
      <w:r w:rsidRPr="00A73780">
        <w:rPr>
          <w:b/>
          <w:bCs/>
        </w:rPr>
        <w:lastRenderedPageBreak/>
        <w:t>Regras clássicas do padrão Crab</w:t>
      </w:r>
    </w:p>
    <w:p w14:paraId="4E0C9DD2" w14:textId="77777777" w:rsidR="00A73780" w:rsidRDefault="00A73780" w:rsidP="002A4FF5">
      <w:pPr>
        <w:rPr>
          <w:b/>
          <w:bCs/>
        </w:rPr>
      </w:pPr>
    </w:p>
    <w:p w14:paraId="490B13F4" w14:textId="0A4E6F1D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7E09642D" wp14:editId="0BBA4170">
            <wp:extent cx="5400040" cy="1240790"/>
            <wp:effectExtent l="0" t="0" r="0" b="0"/>
            <wp:docPr id="1094436288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6288" name="Picture 1" descr="A screenshot of a black box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984" w14:textId="77777777" w:rsidR="00A73780" w:rsidRDefault="00A73780" w:rsidP="002A4FF5">
      <w:pPr>
        <w:rPr>
          <w:b/>
          <w:bCs/>
          <w:lang w:val="pt-PT"/>
        </w:rPr>
      </w:pPr>
    </w:p>
    <w:p w14:paraId="47284C48" w14:textId="2E46462A" w:rsidR="00A73780" w:rsidRDefault="00A73780" w:rsidP="002A4FF5">
      <w:pPr>
        <w:rPr>
          <w:b/>
          <w:bCs/>
        </w:rPr>
      </w:pPr>
      <w:r w:rsidRPr="00A73780">
        <w:rPr>
          <w:b/>
          <w:bCs/>
        </w:rPr>
        <w:t>Regras clássicas do padrão Butterfly</w:t>
      </w:r>
    </w:p>
    <w:p w14:paraId="4A41AE36" w14:textId="23276014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389DB79B" wp14:editId="6B0808CB">
            <wp:extent cx="5400040" cy="996315"/>
            <wp:effectExtent l="0" t="0" r="0" b="0"/>
            <wp:docPr id="9740336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692" name="Picture 1" descr="A screenshot of a pho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2E3D" w14:textId="77777777" w:rsidR="00461587" w:rsidRDefault="00461587" w:rsidP="002A4FF5">
      <w:pPr>
        <w:rPr>
          <w:b/>
          <w:bCs/>
          <w:lang w:val="pt-PT"/>
        </w:rPr>
      </w:pPr>
    </w:p>
    <w:p w14:paraId="120F9087" w14:textId="77777777" w:rsidR="00461587" w:rsidRPr="00461587" w:rsidRDefault="00461587" w:rsidP="00461587">
      <w:pPr>
        <w:rPr>
          <w:b/>
          <w:bCs/>
          <w:lang w:val="pt-PT"/>
        </w:rPr>
      </w:pPr>
      <w:r w:rsidRPr="00461587">
        <w:rPr>
          <w:rFonts w:ascii="Segoe UI Emoji" w:hAnsi="Segoe UI Emoji" w:cs="Segoe UI Emoji"/>
          <w:b/>
          <w:bCs/>
        </w:rPr>
        <w:t>🎯</w:t>
      </w:r>
      <w:r w:rsidRPr="00461587">
        <w:rPr>
          <w:b/>
          <w:bCs/>
          <w:lang w:val="pt-PT"/>
        </w:rPr>
        <w:t xml:space="preserve"> Projeções comuns após a confirmação do padrão (ponto D):</w:t>
      </w:r>
    </w:p>
    <w:p w14:paraId="7A283599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🐢</w:t>
      </w:r>
      <w:r w:rsidRPr="00461587">
        <w:rPr>
          <w:b/>
          <w:bCs/>
        </w:rPr>
        <w:t xml:space="preserve"> Gartley</w:t>
      </w:r>
    </w:p>
    <w:p w14:paraId="739D3560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Entrada: No ponto D</w:t>
      </w:r>
    </w:p>
    <w:p w14:paraId="71159B62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Stop-loss: Pouco além do ponto D</w:t>
      </w:r>
    </w:p>
    <w:p w14:paraId="64F6F403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Take-profits (TP):</w:t>
      </w:r>
    </w:p>
    <w:p w14:paraId="70FC0934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>TP1: Retorno até ponto B</w:t>
      </w:r>
    </w:p>
    <w:p w14:paraId="0FFA023C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>TP2: Extensão até ponto C</w:t>
      </w:r>
    </w:p>
    <w:p w14:paraId="05347278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 (opcional): Projeção de 1.272 ou 1.618 da perna CD</w:t>
      </w:r>
    </w:p>
    <w:p w14:paraId="481821B0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🦇</w:t>
      </w:r>
      <w:r w:rsidRPr="00461587">
        <w:rPr>
          <w:b/>
          <w:bCs/>
        </w:rPr>
        <w:t xml:space="preserve"> Bat</w:t>
      </w:r>
    </w:p>
    <w:p w14:paraId="60D12A5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TP1: Ponto B</w:t>
      </w:r>
    </w:p>
    <w:p w14:paraId="5352176F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TP2: 100% da perna CD</w:t>
      </w:r>
    </w:p>
    <w:p w14:paraId="0F59D04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TP3: 1.272 ou 1.618 da CD</w:t>
      </w:r>
    </w:p>
    <w:p w14:paraId="0397C3D5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🦋</w:t>
      </w:r>
      <w:r w:rsidRPr="00461587">
        <w:rPr>
          <w:b/>
          <w:bCs/>
        </w:rPr>
        <w:t xml:space="preserve"> Butterfly</w:t>
      </w:r>
    </w:p>
    <w:p w14:paraId="704070E8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>TP1: Retorno até ponto B</w:t>
      </w:r>
    </w:p>
    <w:p w14:paraId="73386CC3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>TP2: Retração de XA (~61.8%)</w:t>
      </w:r>
    </w:p>
    <w:p w14:paraId="56B1780A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>TP3: 1.272 ou 1.618 de CD</w:t>
      </w:r>
    </w:p>
    <w:p w14:paraId="7156F391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🦀</w:t>
      </w:r>
      <w:r w:rsidRPr="00461587">
        <w:rPr>
          <w:b/>
          <w:bCs/>
        </w:rPr>
        <w:t xml:space="preserve"> Crab</w:t>
      </w:r>
    </w:p>
    <w:p w14:paraId="2FCAFD02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lastRenderedPageBreak/>
        <w:t>TP1: Ponto B</w:t>
      </w:r>
    </w:p>
    <w:p w14:paraId="19590EF8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t>TP2: 50% ou 61.8% da perna XA</w:t>
      </w:r>
    </w:p>
    <w:p w14:paraId="08A00063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TP3: Projeção 1.272 ou 1.618 da CD ou mesmo do XA (em casos de Super Crab)</w:t>
      </w:r>
    </w:p>
    <w:p w14:paraId="75CBEF25" w14:textId="77777777" w:rsidR="00461587" w:rsidRDefault="00461587" w:rsidP="002A4FF5">
      <w:pPr>
        <w:rPr>
          <w:b/>
          <w:bCs/>
          <w:lang w:val="pt-PT"/>
        </w:rPr>
      </w:pPr>
    </w:p>
    <w:p w14:paraId="46776FB8" w14:textId="77777777" w:rsidR="006A70D9" w:rsidRDefault="006A70D9" w:rsidP="002A4FF5">
      <w:pPr>
        <w:rPr>
          <w:b/>
          <w:bCs/>
          <w:lang w:val="pt-PT"/>
        </w:rPr>
      </w:pPr>
    </w:p>
    <w:p w14:paraId="4C3DFB3C" w14:textId="77777777" w:rsidR="006A70D9" w:rsidRDefault="006A70D9" w:rsidP="002A4FF5">
      <w:pPr>
        <w:rPr>
          <w:b/>
          <w:bCs/>
          <w:lang w:val="pt-PT"/>
        </w:rPr>
      </w:pPr>
    </w:p>
    <w:p w14:paraId="7B49C51B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Padrão</w:t>
      </w:r>
      <w:r w:rsidRPr="006A70D9">
        <w:rPr>
          <w:b/>
          <w:bCs/>
          <w:lang w:val="pt-PT"/>
        </w:rPr>
        <w:tab/>
        <w:t>Tipo</w:t>
      </w:r>
      <w:r w:rsidRPr="006A70D9">
        <w:rPr>
          <w:b/>
          <w:bCs/>
          <w:lang w:val="pt-PT"/>
        </w:rPr>
        <w:tab/>
        <w:t>Stop Loss típico</w:t>
      </w:r>
    </w:p>
    <w:p w14:paraId="581BA0E8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Gartley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X</w:t>
      </w:r>
    </w:p>
    <w:p w14:paraId="36F8C71D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Gartley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X</w:t>
      </w:r>
    </w:p>
    <w:p w14:paraId="00FB6D6B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Bat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X</w:t>
      </w:r>
    </w:p>
    <w:p w14:paraId="48A15918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Bat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X</w:t>
      </w:r>
    </w:p>
    <w:p w14:paraId="70E3C289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Butterfly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D (porque D vai além de X)</w:t>
      </w:r>
    </w:p>
    <w:p w14:paraId="6CAAFEBF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Butterfly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D</w:t>
      </w:r>
    </w:p>
    <w:p w14:paraId="76FBE4B0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Crab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D (D é muito estendido)</w:t>
      </w:r>
    </w:p>
    <w:p w14:paraId="151C9FB3" w14:textId="38812528" w:rsid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Crab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D</w:t>
      </w:r>
    </w:p>
    <w:p w14:paraId="1A9D54A6" w14:textId="77777777" w:rsidR="00AB059F" w:rsidRDefault="00AB059F" w:rsidP="006A70D9">
      <w:pPr>
        <w:rPr>
          <w:b/>
          <w:bCs/>
          <w:lang w:val="pt-PT"/>
        </w:rPr>
      </w:pPr>
    </w:p>
    <w:p w14:paraId="44BDDEDD" w14:textId="77777777" w:rsidR="00AB059F" w:rsidRDefault="00AB059F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06"/>
      </w:tblGrid>
      <w:tr w:rsidR="00AB059F" w:rsidRPr="00AB059F" w14:paraId="47544E1F" w14:textId="77777777" w:rsidTr="00AB0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F00FC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5E358C4D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Usado para</w:t>
            </w:r>
          </w:p>
        </w:tc>
      </w:tr>
    </w:tbl>
    <w:p w14:paraId="0845E789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5177"/>
      </w:tblGrid>
      <w:tr w:rsidR="00AB059F" w:rsidRPr="00B34B94" w14:paraId="15C9C71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384D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3 MAs (curta/média/longa)</w:t>
            </w:r>
          </w:p>
        </w:tc>
        <w:tc>
          <w:tcPr>
            <w:tcW w:w="0" w:type="auto"/>
            <w:vAlign w:val="center"/>
            <w:hideMark/>
          </w:tcPr>
          <w:p w14:paraId="5B0CD164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Identificar tendência direcional (alta, baixa, lateral)</w:t>
            </w:r>
          </w:p>
        </w:tc>
      </w:tr>
    </w:tbl>
    <w:p w14:paraId="78E69391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4111"/>
      </w:tblGrid>
      <w:tr w:rsidR="00AB059F" w:rsidRPr="00B34B94" w14:paraId="732190DC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0AF3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Bollinger Bands</w:t>
            </w:r>
          </w:p>
        </w:tc>
        <w:tc>
          <w:tcPr>
            <w:tcW w:w="0" w:type="auto"/>
            <w:vAlign w:val="center"/>
            <w:hideMark/>
          </w:tcPr>
          <w:p w14:paraId="6F88EE0E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volatilidade (largura entre bandas)</w:t>
            </w:r>
          </w:p>
        </w:tc>
      </w:tr>
    </w:tbl>
    <w:p w14:paraId="69BF38D6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5805"/>
      </w:tblGrid>
      <w:tr w:rsidR="00AB059F" w:rsidRPr="00B34B94" w14:paraId="171924C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5FC1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RSI</w:t>
            </w:r>
          </w:p>
        </w:tc>
        <w:tc>
          <w:tcPr>
            <w:tcW w:w="0" w:type="auto"/>
            <w:vAlign w:val="center"/>
            <w:hideMark/>
          </w:tcPr>
          <w:p w14:paraId="250A4C2D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Detectar excesso de compra/venda, momento oscilatório</w:t>
            </w:r>
          </w:p>
        </w:tc>
      </w:tr>
    </w:tbl>
    <w:p w14:paraId="3AA3C1C0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059"/>
      </w:tblGrid>
      <w:tr w:rsidR="00AB059F" w:rsidRPr="00B34B94" w14:paraId="6879EBDF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C116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ADX</w:t>
            </w:r>
          </w:p>
        </w:tc>
        <w:tc>
          <w:tcPr>
            <w:tcW w:w="0" w:type="auto"/>
            <w:vAlign w:val="center"/>
            <w:hideMark/>
          </w:tcPr>
          <w:p w14:paraId="169836C5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força da tendência (forte ou fraca)</w:t>
            </w:r>
          </w:p>
        </w:tc>
      </w:tr>
    </w:tbl>
    <w:p w14:paraId="135A9CA6" w14:textId="77777777" w:rsidR="00AB059F" w:rsidRDefault="00AB059F" w:rsidP="006A70D9">
      <w:pPr>
        <w:rPr>
          <w:b/>
          <w:bCs/>
          <w:lang w:val="pt-PT"/>
        </w:rPr>
      </w:pPr>
    </w:p>
    <w:p w14:paraId="632ADF2F" w14:textId="77777777" w:rsidR="00AB2DEB" w:rsidRDefault="00AB2DEB" w:rsidP="006A70D9">
      <w:pPr>
        <w:rPr>
          <w:b/>
          <w:bCs/>
          <w:lang w:val="pt-PT"/>
        </w:rPr>
      </w:pPr>
    </w:p>
    <w:p w14:paraId="3000BE5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🧠</w:t>
      </w:r>
      <w:r w:rsidRPr="00AB2DEB">
        <w:rPr>
          <w:b/>
          <w:bCs/>
          <w:lang w:val="pt-PT"/>
        </w:rPr>
        <w:t xml:space="preserve"> Objetivo:</w:t>
      </w:r>
    </w:p>
    <w:p w14:paraId="2794189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Avaliar não só se os padrões funcionam, mas quando, onde, e como eles oferecem vantagem estatística, sustentabilidade, e robustez ao longo do tempo.</w:t>
      </w:r>
    </w:p>
    <w:p w14:paraId="7780C0D5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3CF5CEC">
          <v:rect id="_x0000_i1038" style="width:0;height:1.5pt" o:hralign="center" o:hrstd="t" o:hr="t" fillcolor="#a0a0a0" stroked="f"/>
        </w:pict>
      </w:r>
    </w:p>
    <w:p w14:paraId="217293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1: Validação clássica + estatística</w:t>
      </w:r>
    </w:p>
    <w:p w14:paraId="437E6F4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Métricas base por setup:</w:t>
      </w:r>
    </w:p>
    <w:p w14:paraId="64807998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lastRenderedPageBreak/>
        <w:t>win_rate (% de acerto)</w:t>
      </w:r>
    </w:p>
    <w:p w14:paraId="2FC5A4E5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>avg_reward, avg_risk, reward/risk_ratio</w:t>
      </w:r>
    </w:p>
    <w:p w14:paraId="4C53B584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>expectancy = win_rate * reward - loss_rate * risk</w:t>
      </w:r>
    </w:p>
    <w:p w14:paraId="42675801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>retorno_ponderado_médio</w:t>
      </w:r>
    </w:p>
    <w:p w14:paraId="11A7EA0B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frequência de detecção (número de sinais por 100 velas)</w:t>
      </w:r>
    </w:p>
    <w:p w14:paraId="71CA6D01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encontrar combinações que tenham </w:t>
      </w:r>
      <w:r w:rsidRPr="00AB2DEB">
        <w:rPr>
          <w:b/>
          <w:bCs/>
          <w:i/>
          <w:iCs/>
          <w:lang w:val="pt-PT"/>
        </w:rPr>
        <w:t>expectativa positiva</w:t>
      </w:r>
      <w:r w:rsidRPr="00AB2DEB">
        <w:rPr>
          <w:b/>
          <w:bCs/>
          <w:lang w:val="pt-PT"/>
        </w:rPr>
        <w:t>, mesmo com win_rate moderado.</w:t>
      </w:r>
    </w:p>
    <w:p w14:paraId="7DC4A45D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52C926A">
          <v:rect id="_x0000_i1039" style="width:0;height:1.5pt" o:hralign="center" o:hrstd="t" o:hr="t" fillcolor="#a0a0a0" stroked="f"/>
        </w:pict>
      </w:r>
    </w:p>
    <w:p w14:paraId="7BE27E4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2: Avaliação temporal — estabilidade</w:t>
      </w:r>
    </w:p>
    <w:p w14:paraId="3B13DC7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Se o sistema só funciona em 2 semanas históricas, não serve.</w:t>
      </w:r>
    </w:p>
    <w:p w14:paraId="03FE67C7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🔄</w:t>
      </w:r>
      <w:r w:rsidRPr="00AB2DEB">
        <w:rPr>
          <w:b/>
          <w:bCs/>
        </w:rPr>
        <w:t xml:space="preserve"> Rolling Window Backtest (ex: 3 meses rolantes):</w:t>
      </w:r>
    </w:p>
    <w:p w14:paraId="51DFF1E4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Divido o histórico em blocos (ex: 250 candles)</w:t>
      </w:r>
    </w:p>
    <w:p w14:paraId="174FA54D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Avalio se a performance se mantém estável</w:t>
      </w:r>
    </w:p>
    <w:p w14:paraId="65853CE8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Calculo volatilidade do retorno ao longo do tempo (drawdowns também)</w:t>
      </w:r>
    </w:p>
    <w:p w14:paraId="437E8A7D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python</w:t>
      </w:r>
    </w:p>
    <w:p w14:paraId="6893C110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CopiarEditar</w:t>
      </w:r>
    </w:p>
    <w:p w14:paraId="076272F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Exemplo: performance por trimestre</w:t>
      </w:r>
    </w:p>
    <w:p w14:paraId="66E1DDC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df["quarter"] = pd.to_datetime(data["Date"]).dt.to_period("Q")</w:t>
      </w:r>
    </w:p>
    <w:p w14:paraId="0206DA6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df.groupby("quarter")["retorno_ponderado_médio"].mean()</w:t>
      </w:r>
    </w:p>
    <w:p w14:paraId="5BF5DF49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garantir que os parâmetros funcionam de forma consistente ao longo do tempo → robustez temporal</w:t>
      </w:r>
    </w:p>
    <w:p w14:paraId="0283D801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09F9CDB2">
          <v:rect id="_x0000_i1040" style="width:0;height:1.5pt" o:hralign="center" o:hrstd="t" o:hr="t" fillcolor="#a0a0a0" stroked="f"/>
        </w:pict>
      </w:r>
    </w:p>
    <w:p w14:paraId="170258B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3: Avaliação por contexto de mercado (regimes)</w:t>
      </w:r>
    </w:p>
    <w:p w14:paraId="5012EAE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Os padrões harmônicos são reversões — mas será que em tendência eles funcionam pior?</w:t>
      </w:r>
    </w:p>
    <w:p w14:paraId="00C9AEA1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Já tens:</w:t>
      </w:r>
    </w:p>
    <w:p w14:paraId="543D17C0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>3 MAs → tendência (bullish / bearish / lateral)</w:t>
      </w:r>
    </w:p>
    <w:p w14:paraId="46C5029C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Bollinger Bands → volatilidade (alta / baixa)</w:t>
      </w:r>
    </w:p>
    <w:p w14:paraId="0F01E228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>ADX → força de tendência</w:t>
      </w:r>
    </w:p>
    <w:p w14:paraId="564DD6F2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>RSI → condição de sobrecompra / sobrevenda</w:t>
      </w:r>
    </w:p>
    <w:p w14:paraId="033BE785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🎯</w:t>
      </w:r>
      <w:r w:rsidRPr="00AB2DEB">
        <w:rPr>
          <w:b/>
          <w:bCs/>
        </w:rPr>
        <w:t xml:space="preserve"> O que faço:</w:t>
      </w:r>
    </w:p>
    <w:p w14:paraId="2C2D987C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Para cada padrão detectado, anoto o estado do mercado no ponto D:</w:t>
      </w:r>
    </w:p>
    <w:p w14:paraId="6C3F853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lastRenderedPageBreak/>
        <w:t>python</w:t>
      </w:r>
    </w:p>
    <w:p w14:paraId="5BE79535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CopiarEditar</w:t>
      </w:r>
    </w:p>
    <w:p w14:paraId="5E53EB7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results.append({</w:t>
      </w:r>
    </w:p>
    <w:p w14:paraId="547E276D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..., </w:t>
      </w:r>
    </w:p>
    <w:p w14:paraId="06BB549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"trend": trend_state[D_index],</w:t>
      </w:r>
    </w:p>
    <w:p w14:paraId="5BA91672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"adx": adx_state[D_index],</w:t>
      </w:r>
    </w:p>
    <w:p w14:paraId="00CEFB58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"volatility": bb_state[D_index],</w:t>
      </w:r>
    </w:p>
    <w:p w14:paraId="1F8D0FF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"rsi": rsi_state[D_index],</w:t>
      </w:r>
    </w:p>
    <w:p w14:paraId="01AA955C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})</w:t>
      </w:r>
    </w:p>
    <w:p w14:paraId="0830977F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</w:rPr>
      </w:pPr>
      <w:r w:rsidRPr="00AB2DEB">
        <w:rPr>
          <w:b/>
          <w:bCs/>
        </w:rPr>
        <w:t>Depois faço análise como:</w:t>
      </w:r>
    </w:p>
    <w:p w14:paraId="4B308D4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20A90DC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CopiarEditar</w:t>
      </w:r>
    </w:p>
    <w:p w14:paraId="10835415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Taxa de acerto em mercados sem tendência</w:t>
      </w:r>
    </w:p>
    <w:p w14:paraId="193D5E9B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df[df['adx'] == 'no_trend']['hit_tp'].notna().mean()</w:t>
      </w:r>
    </w:p>
    <w:p w14:paraId="626323E4" w14:textId="77777777" w:rsidR="00AB2DEB" w:rsidRPr="00AB2DEB" w:rsidRDefault="00AB2DEB" w:rsidP="00AB2DEB">
      <w:pPr>
        <w:rPr>
          <w:b/>
          <w:bCs/>
        </w:rPr>
      </w:pPr>
    </w:p>
    <w:p w14:paraId="1064DBE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Reward médio quando RSI está sobrevendido</w:t>
      </w:r>
    </w:p>
    <w:p w14:paraId="08546930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df[df['rsi'] == 'oversold']['reward'].mean()</w:t>
      </w:r>
    </w:p>
    <w:p w14:paraId="2954021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descobrir os contextos onde os padrões funcionam melhor e evitar entrar nos piores.</w:t>
      </w:r>
    </w:p>
    <w:p w14:paraId="16E23522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4F54C954">
          <v:rect id="_x0000_i1041" style="width:0;height:1.5pt" o:hralign="center" o:hrstd="t" o:hr="t" fillcolor="#a0a0a0" stroked="f"/>
        </w:pict>
      </w:r>
    </w:p>
    <w:p w14:paraId="7F1D12F8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4: Mapeamento visual (heatmaps)</w:t>
      </w:r>
    </w:p>
    <w:p w14:paraId="196DA81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🎨</w:t>
      </w:r>
      <w:r w:rsidRPr="00AB2DEB">
        <w:rPr>
          <w:b/>
          <w:bCs/>
          <w:lang w:val="pt-PT"/>
        </w:rPr>
        <w:t xml:space="preserve"> Crio mapas como:</w:t>
      </w:r>
    </w:p>
    <w:p w14:paraId="1ED60E5D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>x = err_allowed</w:t>
      </w:r>
    </w:p>
    <w:p w14:paraId="14F1CC5F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>y = order</w:t>
      </w:r>
    </w:p>
    <w:p w14:paraId="1B3A1009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cor = taxa_acerto, avg_rr_ratio, retorno_ponderado</w:t>
      </w:r>
    </w:p>
    <w:p w14:paraId="1D85F39A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36DF159D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CopiarEditar</w:t>
      </w:r>
    </w:p>
    <w:p w14:paraId="274D0A7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import seaborn as sns</w:t>
      </w:r>
    </w:p>
    <w:p w14:paraId="5198512C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sns.heatmap(summary_df.pivot("order", "err_allowed", "taxa_acerto"))</w:t>
      </w:r>
    </w:p>
    <w:p w14:paraId="5B6EF72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identificar visualmente os </w:t>
      </w:r>
      <w:r w:rsidRPr="00AB2DEB">
        <w:rPr>
          <w:b/>
          <w:bCs/>
          <w:i/>
          <w:iCs/>
          <w:lang w:val="pt-PT"/>
        </w:rPr>
        <w:t>"sweet spots"</w:t>
      </w:r>
      <w:r w:rsidRPr="00AB2DEB">
        <w:rPr>
          <w:b/>
          <w:bCs/>
          <w:lang w:val="pt-PT"/>
        </w:rPr>
        <w:t xml:space="preserve"> — os conjuntos de parâmetros mais promissores</w:t>
      </w:r>
    </w:p>
    <w:p w14:paraId="4B0D4C4B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lastRenderedPageBreak/>
        <w:pict w14:anchorId="02BC870B">
          <v:rect id="_x0000_i1042" style="width:0;height:1.5pt" o:hralign="center" o:hrstd="t" o:hr="t" fillcolor="#a0a0a0" stroked="f"/>
        </w:pict>
      </w:r>
    </w:p>
    <w:p w14:paraId="5834B6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5: Simulação com gestão de capital</w:t>
      </w:r>
    </w:p>
    <w:p w14:paraId="79373F9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Simulo um capital inicial (ex: €10.000) e aplico:</w:t>
      </w:r>
    </w:p>
    <w:p w14:paraId="579088E2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Entradas fixas ou percentuais (ex: 1% de risco)</w:t>
      </w:r>
    </w:p>
    <w:p w14:paraId="5EE022F0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r w:rsidRPr="00AB2DEB">
        <w:rPr>
          <w:b/>
          <w:bCs/>
        </w:rPr>
        <w:t>Stop = stop calculado, TP = TP1/2/3</w:t>
      </w:r>
    </w:p>
    <w:p w14:paraId="57A92D0C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r w:rsidRPr="00AB2DEB">
        <w:rPr>
          <w:b/>
          <w:bCs/>
        </w:rPr>
        <w:t>Registro equity curve, drawdowns, CAGR, etc.</w:t>
      </w:r>
    </w:p>
    <w:p w14:paraId="103219B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ver se o sistema </w:t>
      </w:r>
      <w:r w:rsidRPr="00AB2DEB">
        <w:rPr>
          <w:b/>
          <w:bCs/>
          <w:i/>
          <w:iCs/>
          <w:lang w:val="pt-PT"/>
        </w:rPr>
        <w:t>sustenta capital no tempo real</w:t>
      </w:r>
      <w:r w:rsidRPr="00AB2DEB">
        <w:rPr>
          <w:b/>
          <w:bCs/>
          <w:lang w:val="pt-PT"/>
        </w:rPr>
        <w:t>, não só estatísticas isoladas.</w:t>
      </w:r>
    </w:p>
    <w:p w14:paraId="6D11AB6A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5955736">
          <v:rect id="_x0000_i1043" style="width:0;height:1.5pt" o:hralign="center" o:hrstd="t" o:hr="t" fillcolor="#a0a0a0" stroked="f"/>
        </w:pict>
      </w:r>
    </w:p>
    <w:p w14:paraId="59EA003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6 (opcional): Machine Learning para contexto</w:t>
      </w:r>
    </w:p>
    <w:p w14:paraId="0116F77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Com tudo etiquetado (TP hit, stop, regime de mercado), posso:</w:t>
      </w:r>
    </w:p>
    <w:p w14:paraId="691FDCD4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Treinar um RandomForestClassifier para prever se um padrão detetado vai resultar</w:t>
      </w:r>
    </w:p>
    <w:p w14:paraId="066799FF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>Features: err_allowed, order, ADX, RSI, vol_state, trend, etc.</w:t>
      </w:r>
    </w:p>
    <w:p w14:paraId="4F8B7692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>Target: 1 = TP, 0 = STOP</w:t>
      </w:r>
    </w:p>
    <w:p w14:paraId="34509BF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usar contexto + padrão para filtrar entradas de maior probabilidade</w:t>
      </w:r>
    </w:p>
    <w:p w14:paraId="137B9C1C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D3F7E86">
          <v:rect id="_x0000_i1044" style="width:0;height:1.5pt" o:hralign="center" o:hrstd="t" o:hr="t" fillcolor="#a0a0a0" stroked="f"/>
        </w:pict>
      </w:r>
    </w:p>
    <w:p w14:paraId="0820A80E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💡</w:t>
      </w:r>
      <w:r w:rsidRPr="00AB2DEB">
        <w:rPr>
          <w:b/>
          <w:bCs/>
        </w:rPr>
        <w:t xml:space="preserve"> Conclusão: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712"/>
      </w:tblGrid>
      <w:tr w:rsidR="00AB2DEB" w:rsidRPr="00AB2DEB" w14:paraId="1E8D7079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BD84E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806238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O que resolve</w:t>
            </w:r>
          </w:p>
        </w:tc>
      </w:tr>
      <w:tr w:rsidR="00AB2DEB" w:rsidRPr="00AB2DEB" w14:paraId="1018F988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8CA1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Métricas estatísticas</w:t>
            </w:r>
          </w:p>
        </w:tc>
        <w:tc>
          <w:tcPr>
            <w:tcW w:w="0" w:type="auto"/>
            <w:vAlign w:val="center"/>
            <w:hideMark/>
          </w:tcPr>
          <w:p w14:paraId="02BFB896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Performance bruta</w:t>
            </w:r>
          </w:p>
        </w:tc>
      </w:tr>
      <w:tr w:rsidR="00AB2DEB" w:rsidRPr="00AB2DEB" w14:paraId="1EB29015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A23D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Rolling windows</w:t>
            </w:r>
          </w:p>
        </w:tc>
        <w:tc>
          <w:tcPr>
            <w:tcW w:w="0" w:type="auto"/>
            <w:vAlign w:val="center"/>
            <w:hideMark/>
          </w:tcPr>
          <w:p w14:paraId="3D41C1B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Robustez temporal</w:t>
            </w:r>
          </w:p>
        </w:tc>
      </w:tr>
      <w:tr w:rsidR="00AB2DEB" w:rsidRPr="00AB2DEB" w14:paraId="7063CA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4B59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Regimes de mercado</w:t>
            </w:r>
          </w:p>
        </w:tc>
        <w:tc>
          <w:tcPr>
            <w:tcW w:w="0" w:type="auto"/>
            <w:vAlign w:val="center"/>
            <w:hideMark/>
          </w:tcPr>
          <w:p w14:paraId="2DAD6761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Quando o padrão funciona</w:t>
            </w:r>
          </w:p>
        </w:tc>
      </w:tr>
      <w:tr w:rsidR="00AB2DEB" w:rsidRPr="00AB2DEB" w14:paraId="1CD2271E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4DCB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Heatmaps</w:t>
            </w:r>
          </w:p>
        </w:tc>
        <w:tc>
          <w:tcPr>
            <w:tcW w:w="0" w:type="auto"/>
            <w:vAlign w:val="center"/>
            <w:hideMark/>
          </w:tcPr>
          <w:p w14:paraId="13AE3273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Visualização de hotspots</w:t>
            </w:r>
          </w:p>
        </w:tc>
      </w:tr>
      <w:tr w:rsidR="00AB2DEB" w:rsidRPr="00AB2DEB" w14:paraId="48BB7762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36C5C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Gestão de capital</w:t>
            </w:r>
          </w:p>
        </w:tc>
        <w:tc>
          <w:tcPr>
            <w:tcW w:w="0" w:type="auto"/>
            <w:vAlign w:val="center"/>
            <w:hideMark/>
          </w:tcPr>
          <w:p w14:paraId="60D0E3AE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Aplicabilidade real</w:t>
            </w:r>
          </w:p>
        </w:tc>
      </w:tr>
      <w:tr w:rsidR="00AB2DEB" w:rsidRPr="00AB2DEB" w14:paraId="0DA02C2C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B70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ML (opcional)</w:t>
            </w:r>
          </w:p>
        </w:tc>
        <w:tc>
          <w:tcPr>
            <w:tcW w:w="0" w:type="auto"/>
            <w:vAlign w:val="center"/>
            <w:hideMark/>
          </w:tcPr>
          <w:p w14:paraId="537D6BD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Otimização adaptativa</w:t>
            </w:r>
          </w:p>
        </w:tc>
      </w:tr>
    </w:tbl>
    <w:p w14:paraId="54CB4583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27E5A53C">
          <v:rect id="_x0000_i1045" style="width:0;height:1.5pt" o:hralign="center" o:hrstd="t" o:hr="t" fillcolor="#a0a0a0" stroked="f"/>
        </w:pict>
      </w:r>
    </w:p>
    <w:p w14:paraId="65E5E4A3" w14:textId="77777777" w:rsidR="00AB2DEB" w:rsidRDefault="00AB2DEB" w:rsidP="006A70D9">
      <w:pPr>
        <w:rPr>
          <w:b/>
          <w:bCs/>
          <w:lang w:val="pt-PT"/>
        </w:rPr>
      </w:pPr>
    </w:p>
    <w:p w14:paraId="578D3308" w14:textId="77777777" w:rsidR="00AB2DEB" w:rsidRDefault="00AB2DEB" w:rsidP="006A70D9">
      <w:pPr>
        <w:rPr>
          <w:b/>
          <w:bCs/>
          <w:lang w:val="pt-PT"/>
        </w:rPr>
      </w:pPr>
    </w:p>
    <w:p w14:paraId="2F0BFEC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🧮</w:t>
      </w:r>
      <w:r w:rsidRPr="00AB2DEB">
        <w:rPr>
          <w:b/>
          <w:bCs/>
          <w:lang w:val="pt-PT"/>
        </w:rPr>
        <w:t xml:space="preserve"> Premissas que vamos usar (mas podes ajustar):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2"/>
        <w:gridCol w:w="3172"/>
      </w:tblGrid>
      <w:tr w:rsidR="00AB2DEB" w:rsidRPr="00AB2DEB" w14:paraId="3EF3E940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AE39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lastRenderedPageBreak/>
              <w:t>Parâmetro</w:t>
            </w:r>
          </w:p>
        </w:tc>
        <w:tc>
          <w:tcPr>
            <w:tcW w:w="0" w:type="auto"/>
            <w:vAlign w:val="center"/>
            <w:hideMark/>
          </w:tcPr>
          <w:p w14:paraId="403B5335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Valor padrão</w:t>
            </w:r>
          </w:p>
        </w:tc>
      </w:tr>
      <w:tr w:rsidR="00AB2DEB" w:rsidRPr="00AB2DEB" w14:paraId="4AAEBE24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23A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Capital inicial</w:t>
            </w:r>
          </w:p>
        </w:tc>
        <w:tc>
          <w:tcPr>
            <w:tcW w:w="0" w:type="auto"/>
            <w:vAlign w:val="center"/>
            <w:hideMark/>
          </w:tcPr>
          <w:p w14:paraId="208C8A9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€10.000</w:t>
            </w:r>
          </w:p>
        </w:tc>
      </w:tr>
      <w:tr w:rsidR="00AB2DEB" w:rsidRPr="00AB2DEB" w14:paraId="31409A5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56C0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Risco por trade</w:t>
            </w:r>
          </w:p>
        </w:tc>
        <w:tc>
          <w:tcPr>
            <w:tcW w:w="0" w:type="auto"/>
            <w:vAlign w:val="center"/>
            <w:hideMark/>
          </w:tcPr>
          <w:p w14:paraId="1029DE4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1% do capital</w:t>
            </w:r>
          </w:p>
        </w:tc>
      </w:tr>
      <w:tr w:rsidR="00AB2DEB" w:rsidRPr="00AE277A" w14:paraId="0CB18A4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BC7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Posição alavancada</w:t>
            </w:r>
          </w:p>
        </w:tc>
        <w:tc>
          <w:tcPr>
            <w:tcW w:w="0" w:type="auto"/>
            <w:vAlign w:val="center"/>
            <w:hideMark/>
          </w:tcPr>
          <w:p w14:paraId="31405960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Sim (valor proporcional ao risco)</w:t>
            </w:r>
          </w:p>
        </w:tc>
      </w:tr>
      <w:tr w:rsidR="00AB2DEB" w:rsidRPr="00AE277A" w14:paraId="36CE08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57F5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Ganhos/perdas relativos ao TP e SL definidos no padrão</w:t>
            </w:r>
          </w:p>
        </w:tc>
        <w:tc>
          <w:tcPr>
            <w:tcW w:w="0" w:type="auto"/>
            <w:vAlign w:val="center"/>
            <w:hideMark/>
          </w:tcPr>
          <w:p w14:paraId="0B221D63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</w:p>
        </w:tc>
      </w:tr>
    </w:tbl>
    <w:p w14:paraId="10DFFD6C" w14:textId="77777777" w:rsidR="00AB2DEB" w:rsidRDefault="00AB2DEB" w:rsidP="006A70D9">
      <w:pPr>
        <w:rPr>
          <w:b/>
          <w:bCs/>
          <w:lang w:val="pt-PT"/>
        </w:rPr>
      </w:pPr>
    </w:p>
    <w:p w14:paraId="6EAB6DC9" w14:textId="77777777" w:rsidR="00CE7C48" w:rsidRDefault="00CE7C48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241"/>
      </w:tblGrid>
      <w:tr w:rsidR="00CE7C48" w:rsidRPr="00CE7C48" w14:paraId="7E0D647C" w14:textId="77777777" w:rsidTr="00CE7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6639A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59B7DFB1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O que te diz</w:t>
            </w:r>
          </w:p>
        </w:tc>
      </w:tr>
    </w:tbl>
    <w:p w14:paraId="62D4EB6C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4312"/>
      </w:tblGrid>
      <w:tr w:rsidR="00CE7C48" w:rsidRPr="00AE277A" w14:paraId="39F4DFBB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6A2D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capital_final</w:t>
            </w:r>
          </w:p>
        </w:tc>
        <w:tc>
          <w:tcPr>
            <w:tcW w:w="0" w:type="auto"/>
            <w:vAlign w:val="center"/>
            <w:hideMark/>
          </w:tcPr>
          <w:p w14:paraId="63EDEEF4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🏁</w:t>
            </w:r>
            <w:r w:rsidRPr="00CE7C48">
              <w:rPr>
                <w:b/>
                <w:bCs/>
                <w:lang w:val="pt-PT"/>
              </w:rPr>
              <w:t xml:space="preserve"> O resultado final com gestão de capital</w:t>
            </w:r>
          </w:p>
        </w:tc>
      </w:tr>
    </w:tbl>
    <w:p w14:paraId="0237E1A7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3064"/>
      </w:tblGrid>
      <w:tr w:rsidR="00CE7C48" w:rsidRPr="00AE277A" w14:paraId="0A28BD6F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798B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retorno_ponderado_médio</w:t>
            </w:r>
          </w:p>
        </w:tc>
        <w:tc>
          <w:tcPr>
            <w:tcW w:w="0" w:type="auto"/>
            <w:vAlign w:val="center"/>
            <w:hideMark/>
          </w:tcPr>
          <w:p w14:paraId="6FBB93F9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📈</w:t>
            </w:r>
            <w:r w:rsidRPr="00CE7C48">
              <w:rPr>
                <w:b/>
                <w:bCs/>
                <w:lang w:val="pt-PT"/>
              </w:rPr>
              <w:t xml:space="preserve"> Média de retorno por trade</w:t>
            </w:r>
          </w:p>
        </w:tc>
      </w:tr>
    </w:tbl>
    <w:p w14:paraId="57F7F61B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324"/>
      </w:tblGrid>
      <w:tr w:rsidR="00CE7C48" w:rsidRPr="00CE7C48" w14:paraId="6D780615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5F25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reward/risk_médio</w:t>
            </w:r>
          </w:p>
        </w:tc>
        <w:tc>
          <w:tcPr>
            <w:tcW w:w="0" w:type="auto"/>
            <w:vAlign w:val="center"/>
            <w:hideMark/>
          </w:tcPr>
          <w:p w14:paraId="22B3F984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⚖️</w:t>
            </w:r>
            <w:r w:rsidRPr="00CE7C48">
              <w:rPr>
                <w:b/>
                <w:bCs/>
              </w:rPr>
              <w:t xml:space="preserve"> Eficiência do setup</w:t>
            </w:r>
          </w:p>
        </w:tc>
      </w:tr>
    </w:tbl>
    <w:p w14:paraId="308E3842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577"/>
      </w:tblGrid>
      <w:tr w:rsidR="00CE7C48" w:rsidRPr="00CE7C48" w14:paraId="3F956609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13B7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taxa_acerto</w:t>
            </w:r>
          </w:p>
        </w:tc>
        <w:tc>
          <w:tcPr>
            <w:tcW w:w="0" w:type="auto"/>
            <w:vAlign w:val="center"/>
            <w:hideMark/>
          </w:tcPr>
          <w:p w14:paraId="392E4838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🎯</w:t>
            </w:r>
            <w:r w:rsidRPr="00CE7C48">
              <w:rPr>
                <w:b/>
                <w:bCs/>
              </w:rPr>
              <w:t xml:space="preserve"> Fiabilidade do padrão</w:t>
            </w:r>
          </w:p>
        </w:tc>
      </w:tr>
    </w:tbl>
    <w:p w14:paraId="61782B01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377"/>
      </w:tblGrid>
      <w:tr w:rsidR="00CE7C48" w:rsidRPr="00CE7C48" w14:paraId="5D87F554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A6FE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padrões_detectados</w:t>
            </w:r>
          </w:p>
        </w:tc>
        <w:tc>
          <w:tcPr>
            <w:tcW w:w="0" w:type="auto"/>
            <w:vAlign w:val="center"/>
            <w:hideMark/>
          </w:tcPr>
          <w:p w14:paraId="3211521D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📊</w:t>
            </w:r>
            <w:r w:rsidRPr="00CE7C48">
              <w:rPr>
                <w:b/>
                <w:bCs/>
              </w:rPr>
              <w:t xml:space="preserve"> Frequência do sinal</w:t>
            </w:r>
          </w:p>
        </w:tc>
      </w:tr>
    </w:tbl>
    <w:p w14:paraId="26825F02" w14:textId="77777777" w:rsidR="00CE7C48" w:rsidRDefault="00CE7C48" w:rsidP="006A70D9">
      <w:pPr>
        <w:rPr>
          <w:b/>
          <w:bCs/>
          <w:lang w:val="pt-PT"/>
        </w:rPr>
      </w:pPr>
    </w:p>
    <w:p w14:paraId="0C8E587B" w14:textId="77777777" w:rsidR="00EA6890" w:rsidRDefault="00EA6890" w:rsidP="006A70D9">
      <w:pPr>
        <w:rPr>
          <w:b/>
          <w:bCs/>
          <w:lang w:val="pt-PT"/>
        </w:rPr>
      </w:pPr>
    </w:p>
    <w:p w14:paraId="2F462746" w14:textId="77777777" w:rsidR="00EA6890" w:rsidRDefault="00EA6890" w:rsidP="006A70D9">
      <w:pPr>
        <w:rPr>
          <w:b/>
          <w:bCs/>
          <w:lang w:val="pt-PT"/>
        </w:rPr>
      </w:pPr>
    </w:p>
    <w:p w14:paraId="455B1B00" w14:textId="77777777" w:rsidR="00EA6890" w:rsidRPr="00EA6890" w:rsidRDefault="00EA6890" w:rsidP="00EA6890">
      <w:pPr>
        <w:rPr>
          <w:b/>
          <w:bCs/>
          <w:lang w:val="pt-PT"/>
        </w:rPr>
      </w:pPr>
      <w:r w:rsidRPr="00EA6890">
        <w:rPr>
          <w:rFonts w:ascii="Segoe UI Emoji" w:hAnsi="Segoe UI Emoji" w:cs="Segoe UI Emoji"/>
          <w:b/>
          <w:bCs/>
        </w:rPr>
        <w:t>💡</w:t>
      </w:r>
      <w:r w:rsidRPr="00EA6890">
        <w:rPr>
          <w:b/>
          <w:bCs/>
          <w:lang w:val="pt-PT"/>
        </w:rPr>
        <w:t xml:space="preserve"> 2. Justificação de cada peso: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546"/>
        <w:gridCol w:w="5224"/>
      </w:tblGrid>
      <w:tr w:rsidR="00EA6890" w:rsidRPr="00EA6890" w14:paraId="39C0E0FB" w14:textId="77777777" w:rsidTr="00EA6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79D7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31D02570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1938F94E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Porquê</w:t>
            </w:r>
          </w:p>
        </w:tc>
      </w:tr>
      <w:tr w:rsidR="00EA6890" w:rsidRPr="00EA6890" w14:paraId="327CB3BB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C72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capital_final</w:t>
            </w:r>
          </w:p>
        </w:tc>
        <w:tc>
          <w:tcPr>
            <w:tcW w:w="0" w:type="auto"/>
            <w:vAlign w:val="center"/>
            <w:hideMark/>
          </w:tcPr>
          <w:p w14:paraId="557B6E4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7B421DC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Resultado real com gestão de capital. </w:t>
            </w:r>
            <w:r w:rsidRPr="00EA6890">
              <w:rPr>
                <w:b/>
                <w:bCs/>
              </w:rPr>
              <w:t>Fim da linha.</w:t>
            </w:r>
          </w:p>
        </w:tc>
      </w:tr>
      <w:tr w:rsidR="00EA6890" w:rsidRPr="00EA6890" w14:paraId="672636F0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EA5E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expectancy</w:t>
            </w:r>
          </w:p>
        </w:tc>
        <w:tc>
          <w:tcPr>
            <w:tcW w:w="0" w:type="auto"/>
            <w:vAlign w:val="center"/>
            <w:hideMark/>
          </w:tcPr>
          <w:p w14:paraId="4BB7056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4756C73D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É a matemática da vantagem. </w:t>
            </w:r>
            <w:r w:rsidRPr="00EA6890">
              <w:rPr>
                <w:b/>
                <w:bCs/>
              </w:rPr>
              <w:t>Sem vantagem → ruína.</w:t>
            </w:r>
          </w:p>
        </w:tc>
      </w:tr>
      <w:tr w:rsidR="00EA6890" w:rsidRPr="00AE277A" w14:paraId="208A27C6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95D7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reward/risk_médio</w:t>
            </w:r>
          </w:p>
        </w:tc>
        <w:tc>
          <w:tcPr>
            <w:tcW w:w="0" w:type="auto"/>
            <w:vAlign w:val="center"/>
            <w:hideMark/>
          </w:tcPr>
          <w:p w14:paraId="3D7F2E39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531D27B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Mede a eficiência do setup. Quanto ganhas por cada €1 de risco</w:t>
            </w:r>
          </w:p>
        </w:tc>
      </w:tr>
      <w:tr w:rsidR="00EA6890" w:rsidRPr="00AE277A" w14:paraId="0C425827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8D8D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retorno_ponderado_médio</w:t>
            </w:r>
          </w:p>
        </w:tc>
        <w:tc>
          <w:tcPr>
            <w:tcW w:w="0" w:type="auto"/>
            <w:vAlign w:val="center"/>
            <w:hideMark/>
          </w:tcPr>
          <w:p w14:paraId="6857440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76D95FEF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Mostra a consistência média do setup</w:t>
            </w:r>
          </w:p>
        </w:tc>
      </w:tr>
      <w:tr w:rsidR="00EA6890" w:rsidRPr="00AE277A" w14:paraId="71D09F2F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7B40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lucro_por_trade</w:t>
            </w:r>
          </w:p>
        </w:tc>
        <w:tc>
          <w:tcPr>
            <w:tcW w:w="0" w:type="auto"/>
            <w:vAlign w:val="center"/>
            <w:hideMark/>
          </w:tcPr>
          <w:p w14:paraId="73513118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CD566A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Importa, mas é secundário se o setup for estatisticamente fraco</w:t>
            </w:r>
          </w:p>
        </w:tc>
      </w:tr>
    </w:tbl>
    <w:p w14:paraId="6ADCE86D" w14:textId="77777777" w:rsidR="00EA6890" w:rsidRDefault="00EA6890" w:rsidP="006A70D9">
      <w:pPr>
        <w:rPr>
          <w:b/>
          <w:bCs/>
          <w:lang w:val="pt-PT"/>
        </w:rPr>
      </w:pPr>
    </w:p>
    <w:p w14:paraId="0D725BCA" w14:textId="77777777" w:rsidR="00C41354" w:rsidRDefault="00C41354" w:rsidP="006A70D9">
      <w:pPr>
        <w:rPr>
          <w:b/>
          <w:bCs/>
          <w:lang w:val="pt-PT"/>
        </w:rPr>
      </w:pPr>
    </w:p>
    <w:p w14:paraId="3B6456AA" w14:textId="77777777" w:rsidR="00C41354" w:rsidRDefault="00C41354" w:rsidP="006A70D9">
      <w:pPr>
        <w:rPr>
          <w:b/>
          <w:bCs/>
          <w:lang w:val="pt-PT"/>
        </w:rPr>
      </w:pPr>
    </w:p>
    <w:p w14:paraId="42FC5012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1) EV/EBITDA</w:t>
      </w:r>
    </w:p>
    <w:p w14:paraId="64989E2D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Para quê? compara o valor total do negócio com a sua geração operacional de caixa antes de juros/impostos. É menos distorcido por alavancagem do que P/E.</w:t>
      </w:r>
    </w:p>
    <w:p w14:paraId="4DF903CE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Cálculo</w:t>
      </w:r>
    </w:p>
    <w:p w14:paraId="6513DF68" w14:textId="77777777" w:rsidR="00AE277A" w:rsidRPr="00AE277A" w:rsidRDefault="00AE277A" w:rsidP="00AE277A">
      <w:pPr>
        <w:numPr>
          <w:ilvl w:val="0"/>
          <w:numId w:val="61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EV (Enterprise Value)</w:t>
      </w:r>
      <w:r w:rsidRPr="00AE277A">
        <w:rPr>
          <w:b/>
          <w:bCs/>
          <w:lang w:val="en-US"/>
        </w:rPr>
        <w:br/>
        <w:t>EV = MarketCap + TotalDebt + MinorityInterest + PreferredEquity − Cash &amp; ST Investments</w:t>
      </w:r>
    </w:p>
    <w:p w14:paraId="466E965C" w14:textId="77777777" w:rsidR="00AE277A" w:rsidRPr="00AE277A" w:rsidRDefault="00AE277A" w:rsidP="00AE277A">
      <w:pPr>
        <w:numPr>
          <w:ilvl w:val="0"/>
          <w:numId w:val="61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EBITDA: usa TTM se possível (ou último FY).</w:t>
      </w:r>
      <w:r w:rsidRPr="00AE277A">
        <w:rPr>
          <w:b/>
          <w:bCs/>
          <w:lang w:val="pt-PT"/>
        </w:rPr>
        <w:br/>
        <w:t>Tens no teu income statement: EBITDA (e até Normalized EBITDA).</w:t>
      </w:r>
    </w:p>
    <w:p w14:paraId="1B8B31B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Do teu dataset</w:t>
      </w:r>
    </w:p>
    <w:p w14:paraId="46003C8F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MarketCap: do dicionário do Yahoo → marketCap</w:t>
      </w:r>
    </w:p>
    <w:p w14:paraId="1220216E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TotalDebt: balance → Total Debt</w:t>
      </w:r>
    </w:p>
    <w:p w14:paraId="75AF2684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Cash &amp; ST Inv.: balance → Cash Cash Equivalents And Short Term Investments</w:t>
      </w:r>
      <w:r w:rsidRPr="00AE277A">
        <w:rPr>
          <w:b/>
          <w:bCs/>
          <w:lang w:val="en-US"/>
        </w:rPr>
        <w:br/>
        <w:t>(se não houver, soma Cash And Cash Equivalents + Other Short Term Investments)</w:t>
      </w:r>
    </w:p>
    <w:p w14:paraId="5B658093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Minority/Preferred: se existirem. Minority pode ser Total Equity Gross Minority Interest - Stockholders Equity.</w:t>
      </w:r>
    </w:p>
    <w:p w14:paraId="60027386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EBITDA: income → EBITDA (preferir TTM; se não, FY)</w:t>
      </w:r>
    </w:p>
    <w:p w14:paraId="5916B9A3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Bandas (regra geral, variam por setor)</w:t>
      </w:r>
    </w:p>
    <w:p w14:paraId="57DC99E0" w14:textId="77777777" w:rsidR="00AE277A" w:rsidRPr="00AE277A" w:rsidRDefault="00AE277A" w:rsidP="00AE277A">
      <w:pPr>
        <w:numPr>
          <w:ilvl w:val="0"/>
          <w:numId w:val="63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&lt; 8x → barato / eficiente</w:t>
      </w:r>
    </w:p>
    <w:p w14:paraId="45080349" w14:textId="77777777" w:rsidR="00AE277A" w:rsidRPr="00AE277A" w:rsidRDefault="00AE277A" w:rsidP="00AE277A">
      <w:pPr>
        <w:numPr>
          <w:ilvl w:val="0"/>
          <w:numId w:val="63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8–12x → justo</w:t>
      </w:r>
    </w:p>
    <w:p w14:paraId="5F72EA59" w14:textId="77777777" w:rsidR="00AE277A" w:rsidRPr="00AE277A" w:rsidRDefault="00AE277A" w:rsidP="00AE277A">
      <w:pPr>
        <w:numPr>
          <w:ilvl w:val="0"/>
          <w:numId w:val="63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12x → caro</w:t>
      </w:r>
      <w:r w:rsidRPr="00AE277A">
        <w:rPr>
          <w:b/>
          <w:bCs/>
          <w:lang w:val="pt-PT"/>
        </w:rPr>
        <w:br/>
        <w:t>(Software tolera &gt;12x; utilities costumam &lt;9x.)</w:t>
      </w:r>
    </w:p>
    <w:p w14:paraId="56954893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Quando NÃO usar: empresas com EBITDA negativo/volátil; bancos/seguros (usa P/B e P/TBV).</w:t>
      </w:r>
    </w:p>
    <w:p w14:paraId="380E0CFD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pict w14:anchorId="4D4E3DD0">
          <v:rect id="_x0000_i1064" style="width:0;height:1.5pt" o:hralign="center" o:hrstd="t" o:hr="t" fillcolor="#a0a0a0" stroked="f"/>
        </w:pict>
      </w:r>
    </w:p>
    <w:p w14:paraId="0E151ABB" w14:textId="77777777" w:rsidR="00AE277A" w:rsidRPr="00AE277A" w:rsidRDefault="00AE277A" w:rsidP="00AE277A">
      <w:pPr>
        <w:rPr>
          <w:b/>
          <w:bCs/>
          <w:lang w:val="en-US"/>
        </w:rPr>
      </w:pPr>
      <w:r w:rsidRPr="00AE277A">
        <w:rPr>
          <w:b/>
          <w:bCs/>
          <w:lang w:val="en-US"/>
        </w:rPr>
        <w:t>2) P/S (Price to Sales)</w:t>
      </w:r>
    </w:p>
    <w:p w14:paraId="5AAF4316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Para quê? útil quando não há lucro/EBITDA positivo (early-stage, cíclicas em baixa).</w:t>
      </w:r>
    </w:p>
    <w:p w14:paraId="10AD83F4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Cálculo</w:t>
      </w:r>
      <w:r w:rsidRPr="00AE277A">
        <w:rPr>
          <w:b/>
          <w:bCs/>
          <w:lang w:val="pt-PT"/>
        </w:rPr>
        <w:br/>
        <w:t>P/S = MarketCap / Revenue (TTM)</w:t>
      </w:r>
    </w:p>
    <w:p w14:paraId="6BABDCC3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Do teu dataset</w:t>
      </w:r>
    </w:p>
    <w:p w14:paraId="3B411CBA" w14:textId="77777777" w:rsidR="00AE277A" w:rsidRPr="00AE277A" w:rsidRDefault="00AE277A" w:rsidP="00AE277A">
      <w:pPr>
        <w:numPr>
          <w:ilvl w:val="0"/>
          <w:numId w:val="64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MarketCap: marketCap</w:t>
      </w:r>
    </w:p>
    <w:p w14:paraId="4BF7D706" w14:textId="77777777" w:rsidR="00AE277A" w:rsidRPr="00AE277A" w:rsidRDefault="00AE277A" w:rsidP="00AE277A">
      <w:pPr>
        <w:numPr>
          <w:ilvl w:val="0"/>
          <w:numId w:val="64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Revenue: income → Total Revenue (ideal: TTM)</w:t>
      </w:r>
    </w:p>
    <w:p w14:paraId="7E00D7A5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Bandas (regra geral, olhar por setor!)</w:t>
      </w:r>
    </w:p>
    <w:p w14:paraId="015DC650" w14:textId="77777777" w:rsidR="00AE277A" w:rsidRPr="00AE277A" w:rsidRDefault="00AE277A" w:rsidP="00AE277A">
      <w:pPr>
        <w:numPr>
          <w:ilvl w:val="0"/>
          <w:numId w:val="65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lastRenderedPageBreak/>
        <w:t>&lt; 2x → barato</w:t>
      </w:r>
    </w:p>
    <w:p w14:paraId="058D97CC" w14:textId="77777777" w:rsidR="00AE277A" w:rsidRPr="00AE277A" w:rsidRDefault="00AE277A" w:rsidP="00AE277A">
      <w:pPr>
        <w:numPr>
          <w:ilvl w:val="0"/>
          <w:numId w:val="65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2–6x → justo</w:t>
      </w:r>
    </w:p>
    <w:p w14:paraId="24053172" w14:textId="77777777" w:rsidR="00AE277A" w:rsidRPr="00AE277A" w:rsidRDefault="00AE277A" w:rsidP="00AE277A">
      <w:pPr>
        <w:numPr>
          <w:ilvl w:val="0"/>
          <w:numId w:val="65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6x → caro</w:t>
      </w:r>
      <w:r w:rsidRPr="00AE277A">
        <w:rPr>
          <w:b/>
          <w:bCs/>
          <w:lang w:val="pt-PT"/>
        </w:rPr>
        <w:br/>
        <w:t>(Software/hypergrowth aceita números bem maiores; retalho costuma &lt;2x.)</w:t>
      </w:r>
    </w:p>
    <w:p w14:paraId="7646BA8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pict w14:anchorId="4DA62961">
          <v:rect id="_x0000_i1065" style="width:0;height:1.5pt" o:hralign="center" o:hrstd="t" o:hr="t" fillcolor="#a0a0a0" stroked="f"/>
        </w:pict>
      </w:r>
    </w:p>
    <w:p w14:paraId="12700031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3) FCF Yield</w:t>
      </w:r>
    </w:p>
    <w:p w14:paraId="6DC419C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Para quê? “quanto de </w:t>
      </w:r>
      <w:r w:rsidRPr="00AE277A">
        <w:rPr>
          <w:b/>
          <w:bCs/>
          <w:i/>
          <w:iCs/>
          <w:lang w:val="pt-PT"/>
        </w:rPr>
        <w:t>free cash flow</w:t>
      </w:r>
      <w:r w:rsidRPr="00AE277A">
        <w:rPr>
          <w:b/>
          <w:bCs/>
          <w:lang w:val="pt-PT"/>
        </w:rPr>
        <w:t xml:space="preserve"> recebo por cada €/$ investido em equity”. Excelente métrica para investidores.</w:t>
      </w:r>
    </w:p>
    <w:p w14:paraId="171F1B61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Duas variantes (escolhe uma e sê consistente):</w:t>
      </w:r>
    </w:p>
    <w:p w14:paraId="1F6A1169" w14:textId="77777777" w:rsidR="00AE277A" w:rsidRPr="00AE277A" w:rsidRDefault="00AE277A" w:rsidP="00AE277A">
      <w:pPr>
        <w:numPr>
          <w:ilvl w:val="0"/>
          <w:numId w:val="66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Equity FCF Yield (mais comum em retail)</w:t>
      </w:r>
      <w:r w:rsidRPr="00AE277A">
        <w:rPr>
          <w:b/>
          <w:bCs/>
          <w:lang w:val="en-US"/>
        </w:rPr>
        <w:br/>
        <w:t>FCF Yield = FreeCashFlow / MarketCap</w:t>
      </w:r>
    </w:p>
    <w:p w14:paraId="432AB353" w14:textId="77777777" w:rsidR="00AE277A" w:rsidRPr="00AE277A" w:rsidRDefault="00AE277A" w:rsidP="00AE277A">
      <w:pPr>
        <w:numPr>
          <w:ilvl w:val="0"/>
          <w:numId w:val="66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Enterprise FCF Yield</w:t>
      </w:r>
      <w:r w:rsidRPr="00AE277A">
        <w:rPr>
          <w:b/>
          <w:bCs/>
          <w:lang w:val="pt-PT"/>
        </w:rPr>
        <w:br/>
        <w:t>FCF/EV (mais comparável entre alavancagens diferentes)</w:t>
      </w:r>
    </w:p>
    <w:p w14:paraId="582E4A3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Do teu dataset</w:t>
      </w:r>
    </w:p>
    <w:p w14:paraId="02E33D97" w14:textId="77777777" w:rsidR="00AE277A" w:rsidRPr="00AE277A" w:rsidRDefault="00AE277A" w:rsidP="00AE277A">
      <w:pPr>
        <w:numPr>
          <w:ilvl w:val="0"/>
          <w:numId w:val="67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FreeCashFlow: cashflow → Free Cash Flow</w:t>
      </w:r>
      <w:r w:rsidRPr="00AE277A">
        <w:rPr>
          <w:b/>
          <w:bCs/>
          <w:lang w:val="en-US"/>
        </w:rPr>
        <w:br/>
        <w:t>(se faltar, calcula: Operating Cash Flow - Capital Expenditure)</w:t>
      </w:r>
    </w:p>
    <w:p w14:paraId="62BE7024" w14:textId="77777777" w:rsidR="00AE277A" w:rsidRPr="00AE277A" w:rsidRDefault="00AE277A" w:rsidP="00AE277A">
      <w:pPr>
        <w:numPr>
          <w:ilvl w:val="0"/>
          <w:numId w:val="67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MarketCap: marketCap</w:t>
      </w:r>
    </w:p>
    <w:p w14:paraId="3EE10E51" w14:textId="77777777" w:rsidR="00AE277A" w:rsidRPr="00AE277A" w:rsidRDefault="00AE277A" w:rsidP="00AE277A">
      <w:pPr>
        <w:numPr>
          <w:ilvl w:val="0"/>
          <w:numId w:val="67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EV: como acima</w:t>
      </w:r>
    </w:p>
    <w:p w14:paraId="5AEEFFDB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Regras rápidas (equity FCF yield)</w:t>
      </w:r>
    </w:p>
    <w:p w14:paraId="1DDA6ADF" w14:textId="77777777" w:rsidR="00AE277A" w:rsidRPr="00AE277A" w:rsidRDefault="00AE277A" w:rsidP="00AE277A">
      <w:pPr>
        <w:numPr>
          <w:ilvl w:val="0"/>
          <w:numId w:val="68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&gt; 5% → barato</w:t>
      </w:r>
    </w:p>
    <w:p w14:paraId="5F42BF95" w14:textId="77777777" w:rsidR="00AE277A" w:rsidRPr="00AE277A" w:rsidRDefault="00AE277A" w:rsidP="00AE277A">
      <w:pPr>
        <w:numPr>
          <w:ilvl w:val="0"/>
          <w:numId w:val="68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3–5% → justo</w:t>
      </w:r>
    </w:p>
    <w:p w14:paraId="1EBC976A" w14:textId="77777777" w:rsidR="00AE277A" w:rsidRPr="00AE277A" w:rsidRDefault="00AE277A" w:rsidP="00AE277A">
      <w:pPr>
        <w:numPr>
          <w:ilvl w:val="0"/>
          <w:numId w:val="68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&lt; 3% → caro</w:t>
      </w:r>
      <w:r w:rsidRPr="00AE277A">
        <w:rPr>
          <w:b/>
          <w:bCs/>
          <w:lang w:val="pt-PT"/>
        </w:rPr>
        <w:br/>
        <w:t>(ajusta por setor; utilities/telecom aceitam yields mais altas; hiper-crescimento tolera &lt;3%.)</w:t>
      </w:r>
    </w:p>
    <w:p w14:paraId="440980A5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Cuidados</w:t>
      </w:r>
    </w:p>
    <w:p w14:paraId="3B990A31" w14:textId="77777777" w:rsidR="00AE277A" w:rsidRPr="00AE277A" w:rsidRDefault="00AE277A" w:rsidP="00AE277A">
      <w:pPr>
        <w:numPr>
          <w:ilvl w:val="0"/>
          <w:numId w:val="69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Usa TTM para FCF se conseguires; FY único pode distorcer.</w:t>
      </w:r>
    </w:p>
    <w:p w14:paraId="7928C1E1" w14:textId="77777777" w:rsidR="00AE277A" w:rsidRPr="00AE277A" w:rsidRDefault="00AE277A" w:rsidP="00AE277A">
      <w:pPr>
        <w:numPr>
          <w:ilvl w:val="0"/>
          <w:numId w:val="69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Evita mostrar yield quando FCF é muito errático (ex.: um ano com capex extraordinário).</w:t>
      </w:r>
    </w:p>
    <w:p w14:paraId="2BA2CAE7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pict w14:anchorId="7A8E5FC0">
          <v:rect id="_x0000_i1066" style="width:0;height:1.5pt" o:hralign="center" o:hrstd="t" o:hr="t" fillcolor="#a0a0a0" stroked="f"/>
        </w:pict>
      </w:r>
    </w:p>
    <w:p w14:paraId="1F4EC4A1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4) P/E (trailing/fwd) e PEG</w:t>
      </w:r>
    </w:p>
    <w:p w14:paraId="2BDA1D9F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P/E trailing: preço atual versus EPS dos últimos 12 meses.</w:t>
      </w:r>
    </w:p>
    <w:p w14:paraId="69AF1B06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P/E forward: preço versus EPS esperado (próx. 12m).</w:t>
      </w:r>
    </w:p>
    <w:p w14:paraId="7DACB335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Setor P/E: ótimo para dar prémio/desconto vs pares (exibe “+30% vs setor”).</w:t>
      </w:r>
    </w:p>
    <w:p w14:paraId="6563E606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lastRenderedPageBreak/>
        <w:t>PEG (P/E ÷ crescimento EPS): útil mas frágil — só mostra se tiveres crescimento de EPS (consenso) confiável; ignora se crescimento ≤0% ou muito incerto.</w:t>
      </w:r>
    </w:p>
    <w:p w14:paraId="15BD3D95" w14:textId="77777777" w:rsidR="00C41354" w:rsidRDefault="00C41354" w:rsidP="006A70D9">
      <w:pPr>
        <w:rPr>
          <w:b/>
          <w:bCs/>
          <w:lang w:val="pt-PT"/>
        </w:rPr>
      </w:pPr>
    </w:p>
    <w:p w14:paraId="05FD1115" w14:textId="77777777" w:rsidR="00B34B94" w:rsidRDefault="00B34B94" w:rsidP="006A70D9">
      <w:pPr>
        <w:rPr>
          <w:b/>
          <w:bCs/>
          <w:lang w:val="pt-PT"/>
        </w:rPr>
      </w:pPr>
    </w:p>
    <w:p w14:paraId="76871239" w14:textId="77777777" w:rsidR="00B34B94" w:rsidRPr="00B34B94" w:rsidRDefault="00B34B94" w:rsidP="00B34B94">
      <w:pPr>
        <w:rPr>
          <w:b/>
          <w:bCs/>
          <w:lang w:val="pt-PT"/>
        </w:rPr>
      </w:pPr>
      <w:r w:rsidRPr="00B34B94">
        <w:rPr>
          <w:b/>
          <w:bCs/>
          <w:lang w:val="pt-PT"/>
        </w:rPr>
        <w:t>Boas práticas de apresentação (o que eu mostraria no UI)</w:t>
      </w:r>
    </w:p>
    <w:p w14:paraId="36D31B21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Valor atual + etiqueta:</w:t>
      </w:r>
    </w:p>
    <w:p w14:paraId="5BC495BB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EV/EBITDA: 10.8x — “justo”</w:t>
      </w:r>
    </w:p>
    <w:p w14:paraId="1FB1117C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P/S: 6.2x — “caro vs setor”</w:t>
      </w:r>
    </w:p>
    <w:p w14:paraId="66F880C3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FCF yield: 2.7% — “caro”</w:t>
      </w:r>
    </w:p>
    <w:p w14:paraId="667093F3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Comparação setorial: “EV/EBITDA está +15% acima do mediano do setor”</w:t>
      </w:r>
    </w:p>
    <w:p w14:paraId="07E8CCB0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Histórico (percentil 5 anos): “P/S no p90 histórico”</w:t>
      </w:r>
    </w:p>
    <w:p w14:paraId="090135A3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Fallbacks inteligentes:</w:t>
      </w:r>
    </w:p>
    <w:p w14:paraId="0E735C73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Se EBITDA ≤ 0 → oculta EV/EBITDA e destaca P/S.</w:t>
      </w:r>
    </w:p>
    <w:p w14:paraId="7AAE5E06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en-US"/>
        </w:rPr>
      </w:pPr>
      <w:r w:rsidRPr="00B34B94">
        <w:rPr>
          <w:b/>
          <w:bCs/>
          <w:lang w:val="en-US"/>
        </w:rPr>
        <w:t xml:space="preserve">Se FCF ≤ 0 → oculta FCF yield e mostra </w:t>
      </w:r>
      <w:r w:rsidRPr="00B34B94">
        <w:rPr>
          <w:b/>
          <w:bCs/>
          <w:i/>
          <w:iCs/>
          <w:lang w:val="en-US"/>
        </w:rPr>
        <w:t>Owner earnings</w:t>
      </w:r>
      <w:r w:rsidRPr="00B34B94">
        <w:rPr>
          <w:b/>
          <w:bCs/>
          <w:lang w:val="en-US"/>
        </w:rPr>
        <w:t xml:space="preserve"> ou CFO yield.</w:t>
      </w:r>
    </w:p>
    <w:p w14:paraId="0E59F981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Unidades e consistência: tudo em TTM, mesma moeda (financialCurrency), e notas quando for FY.</w:t>
      </w:r>
    </w:p>
    <w:p w14:paraId="0076606F" w14:textId="77777777" w:rsidR="00B34B94" w:rsidRDefault="00B34B94" w:rsidP="006A70D9">
      <w:pPr>
        <w:rPr>
          <w:b/>
          <w:bCs/>
          <w:lang w:val="pt-PT"/>
        </w:rPr>
      </w:pPr>
    </w:p>
    <w:p w14:paraId="0558DFA3" w14:textId="77777777" w:rsidR="00DE29B3" w:rsidRDefault="00DE29B3" w:rsidP="006A70D9">
      <w:pPr>
        <w:rPr>
          <w:b/>
          <w:bCs/>
          <w:lang w:val="pt-PT"/>
        </w:rPr>
      </w:pPr>
    </w:p>
    <w:p w14:paraId="2C26FF74" w14:textId="77777777" w:rsidR="00DE29B3" w:rsidRDefault="00DE29B3" w:rsidP="006A70D9">
      <w:pPr>
        <w:rPr>
          <w:b/>
          <w:bCs/>
          <w:lang w:val="pt-PT"/>
        </w:rPr>
      </w:pPr>
    </w:p>
    <w:p w14:paraId="2860CE64" w14:textId="77777777" w:rsidR="00DE29B3" w:rsidRDefault="00DE29B3" w:rsidP="006A70D9">
      <w:pPr>
        <w:rPr>
          <w:b/>
          <w:bCs/>
          <w:lang w:val="pt-PT"/>
        </w:rPr>
      </w:pPr>
    </w:p>
    <w:p w14:paraId="71D858A3" w14:textId="77777777" w:rsidR="00DE29B3" w:rsidRDefault="00DE29B3" w:rsidP="006A70D9">
      <w:pPr>
        <w:rPr>
          <w:b/>
          <w:bCs/>
          <w:lang w:val="pt-PT"/>
        </w:rPr>
      </w:pPr>
    </w:p>
    <w:p w14:paraId="49F7C8C6" w14:textId="77777777" w:rsidR="00DE29B3" w:rsidRDefault="00DE29B3" w:rsidP="006A70D9">
      <w:pPr>
        <w:rPr>
          <w:b/>
          <w:bCs/>
          <w:lang w:val="pt-PT"/>
        </w:rPr>
      </w:pPr>
    </w:p>
    <w:p w14:paraId="02721D0C" w14:textId="77777777" w:rsidR="00DE29B3" w:rsidRDefault="00DE29B3" w:rsidP="006A70D9">
      <w:pPr>
        <w:rPr>
          <w:b/>
          <w:bCs/>
          <w:lang w:val="pt-PT"/>
        </w:rPr>
      </w:pPr>
    </w:p>
    <w:p w14:paraId="62220460" w14:textId="77777777" w:rsidR="00DE29B3" w:rsidRDefault="00DE29B3" w:rsidP="006A70D9">
      <w:pPr>
        <w:rPr>
          <w:b/>
          <w:bCs/>
          <w:lang w:val="pt-PT"/>
        </w:rPr>
      </w:pPr>
    </w:p>
    <w:p w14:paraId="267598F2" w14:textId="77777777" w:rsidR="00DE29B3" w:rsidRDefault="00DE29B3" w:rsidP="006A70D9">
      <w:pPr>
        <w:rPr>
          <w:b/>
          <w:bCs/>
          <w:lang w:val="pt-PT"/>
        </w:rPr>
      </w:pPr>
    </w:p>
    <w:p w14:paraId="2E3E086E" w14:textId="77777777" w:rsidR="00DE29B3" w:rsidRDefault="00DE29B3" w:rsidP="006A70D9">
      <w:pPr>
        <w:rPr>
          <w:b/>
          <w:bCs/>
          <w:lang w:val="pt-PT"/>
        </w:rPr>
      </w:pPr>
    </w:p>
    <w:p w14:paraId="5FA0CF14" w14:textId="77777777" w:rsidR="00DE29B3" w:rsidRDefault="00DE29B3" w:rsidP="006A70D9">
      <w:pPr>
        <w:rPr>
          <w:b/>
          <w:bCs/>
          <w:lang w:val="pt-PT"/>
        </w:rPr>
      </w:pPr>
    </w:p>
    <w:p w14:paraId="0A37ECCF" w14:textId="77777777" w:rsidR="00DE29B3" w:rsidRDefault="00DE29B3" w:rsidP="006A70D9">
      <w:pPr>
        <w:rPr>
          <w:b/>
          <w:bCs/>
          <w:lang w:val="pt-PT"/>
        </w:rPr>
      </w:pPr>
    </w:p>
    <w:p w14:paraId="5D2343FF" w14:textId="77777777" w:rsidR="00DE29B3" w:rsidRDefault="00DE29B3" w:rsidP="006A70D9">
      <w:pPr>
        <w:rPr>
          <w:b/>
          <w:bCs/>
          <w:lang w:val="pt-PT"/>
        </w:rPr>
      </w:pPr>
    </w:p>
    <w:p w14:paraId="3ADB9AD5" w14:textId="77777777" w:rsidR="00DE29B3" w:rsidRDefault="00DE29B3" w:rsidP="006A70D9">
      <w:pPr>
        <w:rPr>
          <w:b/>
          <w:bCs/>
          <w:lang w:val="pt-PT"/>
        </w:rPr>
      </w:pPr>
    </w:p>
    <w:p w14:paraId="5C86B315" w14:textId="77777777" w:rsidR="00DE29B3" w:rsidRDefault="00DE29B3" w:rsidP="006A70D9">
      <w:pPr>
        <w:rPr>
          <w:b/>
          <w:bCs/>
          <w:lang w:val="pt-PT"/>
        </w:rPr>
      </w:pPr>
    </w:p>
    <w:p w14:paraId="1F4BD943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lastRenderedPageBreak/>
        <w:t>1) Net Debt / EBITDA</w:t>
      </w:r>
    </w:p>
    <w:p w14:paraId="3BDA9D02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Para quê? alavancagem efetiva (quantos anos de EBITDA para “pagar” a dívida líquida).</w:t>
      </w:r>
    </w:p>
    <w:p w14:paraId="4CC61C02" w14:textId="77777777" w:rsidR="00DE29B3" w:rsidRPr="00DE29B3" w:rsidRDefault="00DE29B3" w:rsidP="00DE29B3">
      <w:pPr>
        <w:numPr>
          <w:ilvl w:val="0"/>
          <w:numId w:val="72"/>
        </w:numPr>
        <w:rPr>
          <w:b/>
          <w:bCs/>
          <w:lang w:val="en-US"/>
        </w:rPr>
      </w:pPr>
      <w:r w:rsidRPr="00DE29B3">
        <w:rPr>
          <w:b/>
          <w:bCs/>
          <w:lang w:val="en-US"/>
        </w:rPr>
        <w:t>Net Debt = Total Debt − (Cash &amp; ST Investments)</w:t>
      </w:r>
      <w:r w:rsidRPr="00DE29B3">
        <w:rPr>
          <w:b/>
          <w:bCs/>
          <w:lang w:val="en-US"/>
        </w:rPr>
        <w:br/>
        <w:t>• Balance: Total Debt</w:t>
      </w:r>
      <w:r w:rsidRPr="00DE29B3">
        <w:rPr>
          <w:b/>
          <w:bCs/>
          <w:lang w:val="en-US"/>
        </w:rPr>
        <w:br/>
        <w:t xml:space="preserve">• Caixa: Cash Cash Equivalents And Short Term Investments </w:t>
      </w:r>
      <w:r w:rsidRPr="00DE29B3">
        <w:rPr>
          <w:b/>
          <w:bCs/>
          <w:i/>
          <w:iCs/>
          <w:lang w:val="en-US"/>
        </w:rPr>
        <w:t>(ou Cash And Cash Equivalents + Other Short Term Investments)</w:t>
      </w:r>
    </w:p>
    <w:p w14:paraId="672D6119" w14:textId="77777777" w:rsidR="00DE29B3" w:rsidRPr="00DE29B3" w:rsidRDefault="00DE29B3" w:rsidP="00DE29B3">
      <w:pPr>
        <w:numPr>
          <w:ilvl w:val="0"/>
          <w:numId w:val="72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 xml:space="preserve">EBITDA (TTM): soma dos últimos 4 trimestres </w:t>
      </w:r>
      <w:r w:rsidRPr="00DE29B3">
        <w:rPr>
          <w:b/>
          <w:bCs/>
          <w:i/>
          <w:iCs/>
          <w:lang w:val="pt-PT"/>
        </w:rPr>
        <w:t>(ou FY mais recente como fallback)</w:t>
      </w:r>
      <w:r w:rsidRPr="00DE29B3">
        <w:rPr>
          <w:b/>
          <w:bCs/>
          <w:lang w:val="pt-PT"/>
        </w:rPr>
        <w:br/>
        <w:t xml:space="preserve">• Income: EBITDA </w:t>
      </w:r>
      <w:r w:rsidRPr="00DE29B3">
        <w:rPr>
          <w:b/>
          <w:bCs/>
          <w:i/>
          <w:iCs/>
          <w:lang w:val="pt-PT"/>
        </w:rPr>
        <w:t>(ou Normalized EBITDA; se faltar: Operating Income + Depreciation And Amortization)</w:t>
      </w:r>
    </w:p>
    <w:p w14:paraId="52F2FD42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Classificação (regra geral):</w:t>
      </w:r>
    </w:p>
    <w:p w14:paraId="4EEAAC82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&lt; 1,0x → Forte</w:t>
      </w:r>
    </w:p>
    <w:p w14:paraId="1BE8E7C5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1,0–3,0x → Ok</w:t>
      </w:r>
    </w:p>
    <w:p w14:paraId="511043A9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&gt; 3,0x → Fraco</w:t>
      </w:r>
    </w:p>
    <w:p w14:paraId="78009517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en-US"/>
        </w:rPr>
      </w:pPr>
      <w:r w:rsidRPr="00DE29B3">
        <w:rPr>
          <w:b/>
          <w:bCs/>
          <w:lang w:val="en-US"/>
        </w:rPr>
        <w:t>Net cash (Net Debt &lt; 0) → Muito forte</w:t>
      </w:r>
    </w:p>
    <w:p w14:paraId="4964865F" w14:textId="77777777" w:rsidR="00DE29B3" w:rsidRPr="00DE29B3" w:rsidRDefault="00DE29B3" w:rsidP="00DE29B3">
      <w:pPr>
        <w:numPr>
          <w:ilvl w:val="0"/>
          <w:numId w:val="73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EBITDA ≤ 0 → “N/A (EBITDA negativo)” → tratar como Fraco por prudência.</w:t>
      </w:r>
    </w:p>
    <w:p w14:paraId="3083BD75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pict w14:anchorId="47427E11">
          <v:rect id="_x0000_i1088" style="width:0;height:1.5pt" o:hralign="center" o:hrstd="t" o:hr="t" fillcolor="#a0a0a0" stroked="f"/>
        </w:pict>
      </w:r>
    </w:p>
    <w:p w14:paraId="49080E44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2) Cobertura de juros</w:t>
      </w:r>
    </w:p>
    <w:p w14:paraId="55181B99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Para quê? folga para pagar juros.</w:t>
      </w:r>
    </w:p>
    <w:p w14:paraId="18E78EB5" w14:textId="77777777" w:rsidR="00DE29B3" w:rsidRPr="00DE29B3" w:rsidRDefault="00DE29B3" w:rsidP="00DE29B3">
      <w:pPr>
        <w:numPr>
          <w:ilvl w:val="0"/>
          <w:numId w:val="74"/>
        </w:numPr>
        <w:rPr>
          <w:b/>
          <w:bCs/>
          <w:lang w:val="en-US"/>
        </w:rPr>
      </w:pPr>
      <w:r w:rsidRPr="00DE29B3">
        <w:rPr>
          <w:b/>
          <w:bCs/>
          <w:lang w:val="en-US"/>
        </w:rPr>
        <w:t>Interest Coverage (EBIT) = EBIT / Interest Expense</w:t>
      </w:r>
      <w:r w:rsidRPr="00DE29B3">
        <w:rPr>
          <w:b/>
          <w:bCs/>
          <w:lang w:val="en-US"/>
        </w:rPr>
        <w:br/>
        <w:t>• Income: Operating Income (≈ EBIT), Interest Expense</w:t>
      </w:r>
    </w:p>
    <w:p w14:paraId="065A6C3B" w14:textId="77777777" w:rsidR="00DE29B3" w:rsidRPr="00DE29B3" w:rsidRDefault="00DE29B3" w:rsidP="00DE29B3">
      <w:pPr>
        <w:numPr>
          <w:ilvl w:val="0"/>
          <w:numId w:val="74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Alt. (negócios muito depreciativos): EBITDA / Interest Expense</w:t>
      </w:r>
    </w:p>
    <w:p w14:paraId="55F6C8EE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Classificação (EBIT-based):</w:t>
      </w:r>
    </w:p>
    <w:p w14:paraId="778746D2" w14:textId="77777777" w:rsidR="00DE29B3" w:rsidRPr="00DE29B3" w:rsidRDefault="00DE29B3" w:rsidP="00DE29B3">
      <w:pPr>
        <w:numPr>
          <w:ilvl w:val="0"/>
          <w:numId w:val="75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&gt; 8x → Forte</w:t>
      </w:r>
    </w:p>
    <w:p w14:paraId="1BB4E9DE" w14:textId="77777777" w:rsidR="00DE29B3" w:rsidRPr="00DE29B3" w:rsidRDefault="00DE29B3" w:rsidP="00DE29B3">
      <w:pPr>
        <w:numPr>
          <w:ilvl w:val="0"/>
          <w:numId w:val="75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3–8x → Ok</w:t>
      </w:r>
    </w:p>
    <w:p w14:paraId="067C9BA1" w14:textId="77777777" w:rsidR="00DE29B3" w:rsidRPr="00DE29B3" w:rsidRDefault="00DE29B3" w:rsidP="00DE29B3">
      <w:pPr>
        <w:numPr>
          <w:ilvl w:val="0"/>
          <w:numId w:val="75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&lt; 3x → Fraco</w:t>
      </w:r>
    </w:p>
    <w:p w14:paraId="756B28E1" w14:textId="77777777" w:rsidR="00DE29B3" w:rsidRPr="00DE29B3" w:rsidRDefault="00DE29B3" w:rsidP="00DE29B3">
      <w:pPr>
        <w:numPr>
          <w:ilvl w:val="0"/>
          <w:numId w:val="75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Interest Expense ≤ 0 → marca como N/A (verifica se há rendimentos de juros).</w:t>
      </w:r>
    </w:p>
    <w:p w14:paraId="2B0C4530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pict w14:anchorId="5CEB3FB8">
          <v:rect id="_x0000_i1089" style="width:0;height:1.5pt" o:hralign="center" o:hrstd="t" o:hr="t" fillcolor="#a0a0a0" stroked="f"/>
        </w:pict>
      </w:r>
    </w:p>
    <w:p w14:paraId="10C7093F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3) Liquidez (Curto Prazo)</w:t>
      </w:r>
    </w:p>
    <w:p w14:paraId="3EBA8250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Para quê? capacidade de cumprir obrigações de curto prazo.</w:t>
      </w:r>
    </w:p>
    <w:p w14:paraId="14261B65" w14:textId="77777777" w:rsidR="00DE29B3" w:rsidRPr="00DE29B3" w:rsidRDefault="00DE29B3" w:rsidP="00DE29B3">
      <w:pPr>
        <w:numPr>
          <w:ilvl w:val="0"/>
          <w:numId w:val="76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Current Ratio = Current Assets / Current Liabilities</w:t>
      </w:r>
      <w:r w:rsidRPr="00DE29B3">
        <w:rPr>
          <w:b/>
          <w:bCs/>
          <w:lang w:val="pt-PT"/>
        </w:rPr>
        <w:br/>
        <w:t>• Balance: Current Assets, Current Liabilities</w:t>
      </w:r>
    </w:p>
    <w:p w14:paraId="14F5AD7D" w14:textId="77777777" w:rsidR="00DE29B3" w:rsidRPr="00DE29B3" w:rsidRDefault="00DE29B3" w:rsidP="00DE29B3">
      <w:pPr>
        <w:numPr>
          <w:ilvl w:val="0"/>
          <w:numId w:val="76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Quick Ratio = (Current Assets − Inventory) / Current Liabilities</w:t>
      </w:r>
      <w:r w:rsidRPr="00DE29B3">
        <w:rPr>
          <w:b/>
          <w:bCs/>
          <w:lang w:val="pt-PT"/>
        </w:rPr>
        <w:br/>
        <w:t>• Balance: Inventory</w:t>
      </w:r>
    </w:p>
    <w:p w14:paraId="300D45F0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lastRenderedPageBreak/>
        <w:t>Classificação (regra geral):</w:t>
      </w:r>
    </w:p>
    <w:p w14:paraId="0840E481" w14:textId="77777777" w:rsidR="00DE29B3" w:rsidRPr="00DE29B3" w:rsidRDefault="00DE29B3" w:rsidP="00DE29B3">
      <w:pPr>
        <w:numPr>
          <w:ilvl w:val="0"/>
          <w:numId w:val="77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Current Ratio: &gt;1,5 forte | 1,0–1,5 ok | &lt;1,0 fraco</w:t>
      </w:r>
    </w:p>
    <w:p w14:paraId="3C8AD3F3" w14:textId="77777777" w:rsidR="00DE29B3" w:rsidRPr="00DE29B3" w:rsidRDefault="00DE29B3" w:rsidP="00DE29B3">
      <w:pPr>
        <w:numPr>
          <w:ilvl w:val="0"/>
          <w:numId w:val="77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Quick Ratio: &gt;1,0 forte | 0,8–1,0 ok | &lt;0,8 fraco</w:t>
      </w:r>
    </w:p>
    <w:p w14:paraId="34F1D5C3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 xml:space="preserve">Bancos/seguradoras: estes rácios não se aplicam bem. Para bancos usa CET1, LCR/NSFR; para seguradoras, </w:t>
      </w:r>
      <w:r w:rsidRPr="00DE29B3">
        <w:rPr>
          <w:b/>
          <w:bCs/>
          <w:i/>
          <w:iCs/>
          <w:lang w:val="pt-PT"/>
        </w:rPr>
        <w:t>combined ratio</w:t>
      </w:r>
      <w:r w:rsidRPr="00DE29B3">
        <w:rPr>
          <w:b/>
          <w:bCs/>
          <w:lang w:val="pt-PT"/>
        </w:rPr>
        <w:t>, RBC, etc.</w:t>
      </w:r>
    </w:p>
    <w:p w14:paraId="3CA2746E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pict w14:anchorId="47F8651D">
          <v:rect id="_x0000_i1090" style="width:0;height:1.5pt" o:hralign="center" o:hrstd="t" o:hr="t" fillcolor="#a0a0a0" stroked="f"/>
        </w:pict>
      </w:r>
    </w:p>
    <w:p w14:paraId="3F596A97" w14:textId="77777777" w:rsidR="00DE29B3" w:rsidRPr="00DE29B3" w:rsidRDefault="00DE29B3" w:rsidP="00DE29B3">
      <w:pPr>
        <w:rPr>
          <w:b/>
          <w:bCs/>
          <w:lang w:val="pt-PT"/>
        </w:rPr>
      </w:pPr>
      <w:r w:rsidRPr="00DE29B3">
        <w:rPr>
          <w:b/>
          <w:bCs/>
          <w:lang w:val="pt-PT"/>
        </w:rPr>
        <w:t>Extras úteis (se quiseres elevar)</w:t>
      </w:r>
    </w:p>
    <w:p w14:paraId="645AF965" w14:textId="77777777" w:rsidR="00DE29B3" w:rsidRPr="00DE29B3" w:rsidRDefault="00DE29B3" w:rsidP="00DE29B3">
      <w:pPr>
        <w:numPr>
          <w:ilvl w:val="0"/>
          <w:numId w:val="78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Dívida de curto prazo / Total Debt → perfil de maturidade (quanto vence em 12m).</w:t>
      </w:r>
      <w:r w:rsidRPr="00DE29B3">
        <w:rPr>
          <w:b/>
          <w:bCs/>
          <w:lang w:val="pt-PT"/>
        </w:rPr>
        <w:br/>
        <w:t>• Current Debt / Total Debt</w:t>
      </w:r>
    </w:p>
    <w:p w14:paraId="111E9008" w14:textId="77777777" w:rsidR="00DE29B3" w:rsidRPr="00DE29B3" w:rsidRDefault="00DE29B3" w:rsidP="00DE29B3">
      <w:pPr>
        <w:numPr>
          <w:ilvl w:val="0"/>
          <w:numId w:val="78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Debt / Equity: visão clássica de alavancagem.</w:t>
      </w:r>
    </w:p>
    <w:p w14:paraId="5C882B71" w14:textId="77777777" w:rsidR="00DE29B3" w:rsidRPr="00DE29B3" w:rsidRDefault="00DE29B3" w:rsidP="00DE29B3">
      <w:pPr>
        <w:numPr>
          <w:ilvl w:val="0"/>
          <w:numId w:val="78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FCF / Debt (ou FCF / Net Debt): quanto FCF “cobre” da dívida por ano.</w:t>
      </w:r>
    </w:p>
    <w:p w14:paraId="6EF77227" w14:textId="77777777" w:rsidR="00DE29B3" w:rsidRPr="00DE29B3" w:rsidRDefault="00DE29B3" w:rsidP="00DE29B3">
      <w:pPr>
        <w:numPr>
          <w:ilvl w:val="0"/>
          <w:numId w:val="78"/>
        </w:numPr>
        <w:rPr>
          <w:b/>
          <w:bCs/>
          <w:lang w:val="pt-PT"/>
        </w:rPr>
      </w:pPr>
      <w:r w:rsidRPr="00DE29B3">
        <w:rPr>
          <w:b/>
          <w:bCs/>
          <w:lang w:val="pt-PT"/>
        </w:rPr>
        <w:t>Covenants &amp; leases: incluir Capital Lease Obligations na dívida se quiseres visão “económica”.</w:t>
      </w:r>
    </w:p>
    <w:p w14:paraId="0ED01820" w14:textId="77777777" w:rsidR="00DE29B3" w:rsidRPr="00A73780" w:rsidRDefault="00DE29B3" w:rsidP="006A70D9">
      <w:pPr>
        <w:rPr>
          <w:b/>
          <w:bCs/>
          <w:lang w:val="pt-PT"/>
        </w:rPr>
      </w:pPr>
    </w:p>
    <w:sectPr w:rsidR="00DE29B3" w:rsidRPr="00A73780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5F6"/>
    <w:multiLevelType w:val="multilevel"/>
    <w:tmpl w:val="6F9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727D7"/>
    <w:multiLevelType w:val="multilevel"/>
    <w:tmpl w:val="28BE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92265"/>
    <w:multiLevelType w:val="multilevel"/>
    <w:tmpl w:val="45C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F169B"/>
    <w:multiLevelType w:val="multilevel"/>
    <w:tmpl w:val="D0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2256E"/>
    <w:multiLevelType w:val="multilevel"/>
    <w:tmpl w:val="42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4121B"/>
    <w:multiLevelType w:val="multilevel"/>
    <w:tmpl w:val="8EB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D868BF"/>
    <w:multiLevelType w:val="multilevel"/>
    <w:tmpl w:val="759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A539FC"/>
    <w:multiLevelType w:val="multilevel"/>
    <w:tmpl w:val="967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AD4593"/>
    <w:multiLevelType w:val="multilevel"/>
    <w:tmpl w:val="D7E8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224678"/>
    <w:multiLevelType w:val="multilevel"/>
    <w:tmpl w:val="563C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44114A"/>
    <w:multiLevelType w:val="multilevel"/>
    <w:tmpl w:val="E8D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0A0622"/>
    <w:multiLevelType w:val="multilevel"/>
    <w:tmpl w:val="04D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C14315"/>
    <w:multiLevelType w:val="multilevel"/>
    <w:tmpl w:val="7B9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CD5F43"/>
    <w:multiLevelType w:val="multilevel"/>
    <w:tmpl w:val="B9F0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AC5300"/>
    <w:multiLevelType w:val="multilevel"/>
    <w:tmpl w:val="DE8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2578CB"/>
    <w:multiLevelType w:val="multilevel"/>
    <w:tmpl w:val="8A5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E651FD"/>
    <w:multiLevelType w:val="multilevel"/>
    <w:tmpl w:val="486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C552F2"/>
    <w:multiLevelType w:val="multilevel"/>
    <w:tmpl w:val="B7A4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E050B6"/>
    <w:multiLevelType w:val="multilevel"/>
    <w:tmpl w:val="4DEE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27326D"/>
    <w:multiLevelType w:val="multilevel"/>
    <w:tmpl w:val="88B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E62EC2"/>
    <w:multiLevelType w:val="multilevel"/>
    <w:tmpl w:val="EC4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F40035"/>
    <w:multiLevelType w:val="multilevel"/>
    <w:tmpl w:val="2A36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150F3A"/>
    <w:multiLevelType w:val="multilevel"/>
    <w:tmpl w:val="A37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922693"/>
    <w:multiLevelType w:val="multilevel"/>
    <w:tmpl w:val="337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590520"/>
    <w:multiLevelType w:val="multilevel"/>
    <w:tmpl w:val="B0A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524F97"/>
    <w:multiLevelType w:val="multilevel"/>
    <w:tmpl w:val="566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AE016B"/>
    <w:multiLevelType w:val="multilevel"/>
    <w:tmpl w:val="20F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6A727A"/>
    <w:multiLevelType w:val="multilevel"/>
    <w:tmpl w:val="13F4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904ADF"/>
    <w:multiLevelType w:val="multilevel"/>
    <w:tmpl w:val="2EEC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3B5B74"/>
    <w:multiLevelType w:val="multilevel"/>
    <w:tmpl w:val="549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A52611"/>
    <w:multiLevelType w:val="multilevel"/>
    <w:tmpl w:val="4B9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165CC0"/>
    <w:multiLevelType w:val="multilevel"/>
    <w:tmpl w:val="DA4E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111606"/>
    <w:multiLevelType w:val="multilevel"/>
    <w:tmpl w:val="4FE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59"/>
  </w:num>
  <w:num w:numId="2" w16cid:durableId="620305025">
    <w:abstractNumId w:val="52"/>
  </w:num>
  <w:num w:numId="3" w16cid:durableId="2098751037">
    <w:abstractNumId w:val="8"/>
  </w:num>
  <w:num w:numId="4" w16cid:durableId="14894264">
    <w:abstractNumId w:val="70"/>
  </w:num>
  <w:num w:numId="5" w16cid:durableId="1986622170">
    <w:abstractNumId w:val="72"/>
  </w:num>
  <w:num w:numId="6" w16cid:durableId="65030407">
    <w:abstractNumId w:val="28"/>
  </w:num>
  <w:num w:numId="7" w16cid:durableId="1168594763">
    <w:abstractNumId w:val="56"/>
  </w:num>
  <w:num w:numId="8" w16cid:durableId="79835265">
    <w:abstractNumId w:val="2"/>
  </w:num>
  <w:num w:numId="9" w16cid:durableId="1299263299">
    <w:abstractNumId w:val="51"/>
  </w:num>
  <w:num w:numId="10" w16cid:durableId="815951957">
    <w:abstractNumId w:val="45"/>
  </w:num>
  <w:num w:numId="11" w16cid:durableId="1201163383">
    <w:abstractNumId w:val="55"/>
  </w:num>
  <w:num w:numId="12" w16cid:durableId="690490481">
    <w:abstractNumId w:val="30"/>
  </w:num>
  <w:num w:numId="13" w16cid:durableId="1825512059">
    <w:abstractNumId w:val="12"/>
  </w:num>
  <w:num w:numId="14" w16cid:durableId="1106005860">
    <w:abstractNumId w:val="4"/>
  </w:num>
  <w:num w:numId="15" w16cid:durableId="1031343688">
    <w:abstractNumId w:val="46"/>
  </w:num>
  <w:num w:numId="16" w16cid:durableId="2001033225">
    <w:abstractNumId w:val="62"/>
  </w:num>
  <w:num w:numId="17" w16cid:durableId="1745180999">
    <w:abstractNumId w:val="9"/>
  </w:num>
  <w:num w:numId="18" w16cid:durableId="949047167">
    <w:abstractNumId w:val="41"/>
  </w:num>
  <w:num w:numId="19" w16cid:durableId="298000324">
    <w:abstractNumId w:val="14"/>
  </w:num>
  <w:num w:numId="20" w16cid:durableId="1195507951">
    <w:abstractNumId w:val="57"/>
  </w:num>
  <w:num w:numId="21" w16cid:durableId="1760981685">
    <w:abstractNumId w:val="13"/>
  </w:num>
  <w:num w:numId="22" w16cid:durableId="128398507">
    <w:abstractNumId w:val="69"/>
  </w:num>
  <w:num w:numId="23" w16cid:durableId="1967662964">
    <w:abstractNumId w:val="42"/>
  </w:num>
  <w:num w:numId="24" w16cid:durableId="1928079507">
    <w:abstractNumId w:val="60"/>
  </w:num>
  <w:num w:numId="25" w16cid:durableId="1874951721">
    <w:abstractNumId w:val="58"/>
  </w:num>
  <w:num w:numId="26" w16cid:durableId="1222131112">
    <w:abstractNumId w:val="61"/>
  </w:num>
  <w:num w:numId="27" w16cid:durableId="917715672">
    <w:abstractNumId w:val="26"/>
  </w:num>
  <w:num w:numId="28" w16cid:durableId="1162507527">
    <w:abstractNumId w:val="37"/>
  </w:num>
  <w:num w:numId="29" w16cid:durableId="881944281">
    <w:abstractNumId w:val="65"/>
  </w:num>
  <w:num w:numId="30" w16cid:durableId="1176964701">
    <w:abstractNumId w:val="63"/>
  </w:num>
  <w:num w:numId="31" w16cid:durableId="847911303">
    <w:abstractNumId w:val="47"/>
  </w:num>
  <w:num w:numId="32" w16cid:durableId="1641687827">
    <w:abstractNumId w:val="17"/>
  </w:num>
  <w:num w:numId="33" w16cid:durableId="290525612">
    <w:abstractNumId w:val="31"/>
  </w:num>
  <w:num w:numId="34" w16cid:durableId="1051997576">
    <w:abstractNumId w:val="35"/>
  </w:num>
  <w:num w:numId="35" w16cid:durableId="1384520022">
    <w:abstractNumId w:val="68"/>
  </w:num>
  <w:num w:numId="36" w16cid:durableId="757484560">
    <w:abstractNumId w:val="11"/>
  </w:num>
  <w:num w:numId="37" w16cid:durableId="1491100805">
    <w:abstractNumId w:val="15"/>
  </w:num>
  <w:num w:numId="38" w16cid:durableId="1990555470">
    <w:abstractNumId w:val="67"/>
  </w:num>
  <w:num w:numId="39" w16cid:durableId="1813792192">
    <w:abstractNumId w:val="29"/>
  </w:num>
  <w:num w:numId="40" w16cid:durableId="1175459206">
    <w:abstractNumId w:val="22"/>
  </w:num>
  <w:num w:numId="41" w16cid:durableId="1114130107">
    <w:abstractNumId w:val="6"/>
  </w:num>
  <w:num w:numId="42" w16cid:durableId="789082739">
    <w:abstractNumId w:val="48"/>
  </w:num>
  <w:num w:numId="43" w16cid:durableId="838036139">
    <w:abstractNumId w:val="16"/>
  </w:num>
  <w:num w:numId="44" w16cid:durableId="1223130776">
    <w:abstractNumId w:val="64"/>
  </w:num>
  <w:num w:numId="45" w16cid:durableId="1385521466">
    <w:abstractNumId w:val="53"/>
  </w:num>
  <w:num w:numId="46" w16cid:durableId="1061245447">
    <w:abstractNumId w:val="39"/>
  </w:num>
  <w:num w:numId="47" w16cid:durableId="981810997">
    <w:abstractNumId w:val="5"/>
  </w:num>
  <w:num w:numId="48" w16cid:durableId="1811943841">
    <w:abstractNumId w:val="25"/>
  </w:num>
  <w:num w:numId="49" w16cid:durableId="685063394">
    <w:abstractNumId w:val="75"/>
  </w:num>
  <w:num w:numId="50" w16cid:durableId="294601601">
    <w:abstractNumId w:val="74"/>
  </w:num>
  <w:num w:numId="51" w16cid:durableId="1322391138">
    <w:abstractNumId w:val="23"/>
  </w:num>
  <w:num w:numId="52" w16cid:durableId="1047996815">
    <w:abstractNumId w:val="50"/>
  </w:num>
  <w:num w:numId="53" w16cid:durableId="775909703">
    <w:abstractNumId w:val="38"/>
  </w:num>
  <w:num w:numId="54" w16cid:durableId="1009139472">
    <w:abstractNumId w:val="73"/>
  </w:num>
  <w:num w:numId="55" w16cid:durableId="17123407">
    <w:abstractNumId w:val="32"/>
  </w:num>
  <w:num w:numId="56" w16cid:durableId="1117945005">
    <w:abstractNumId w:val="19"/>
  </w:num>
  <w:num w:numId="57" w16cid:durableId="1191802537">
    <w:abstractNumId w:val="40"/>
  </w:num>
  <w:num w:numId="58" w16cid:durableId="1573858169">
    <w:abstractNumId w:val="44"/>
  </w:num>
  <w:num w:numId="59" w16cid:durableId="1292249962">
    <w:abstractNumId w:val="10"/>
  </w:num>
  <w:num w:numId="60" w16cid:durableId="190345149">
    <w:abstractNumId w:val="27"/>
  </w:num>
  <w:num w:numId="61" w16cid:durableId="630132607">
    <w:abstractNumId w:val="33"/>
  </w:num>
  <w:num w:numId="62" w16cid:durableId="676420756">
    <w:abstractNumId w:val="36"/>
  </w:num>
  <w:num w:numId="63" w16cid:durableId="1356467084">
    <w:abstractNumId w:val="54"/>
  </w:num>
  <w:num w:numId="64" w16cid:durableId="1998606148">
    <w:abstractNumId w:val="34"/>
  </w:num>
  <w:num w:numId="65" w16cid:durableId="1318916783">
    <w:abstractNumId w:val="20"/>
  </w:num>
  <w:num w:numId="66" w16cid:durableId="938441065">
    <w:abstractNumId w:val="77"/>
  </w:num>
  <w:num w:numId="67" w16cid:durableId="1983923154">
    <w:abstractNumId w:val="0"/>
  </w:num>
  <w:num w:numId="68" w16cid:durableId="255946805">
    <w:abstractNumId w:val="24"/>
  </w:num>
  <w:num w:numId="69" w16cid:durableId="926810390">
    <w:abstractNumId w:val="71"/>
  </w:num>
  <w:num w:numId="70" w16cid:durableId="1036588030">
    <w:abstractNumId w:val="66"/>
  </w:num>
  <w:num w:numId="71" w16cid:durableId="2044285674">
    <w:abstractNumId w:val="3"/>
  </w:num>
  <w:num w:numId="72" w16cid:durableId="2063016251">
    <w:abstractNumId w:val="7"/>
  </w:num>
  <w:num w:numId="73" w16cid:durableId="1319921924">
    <w:abstractNumId w:val="18"/>
  </w:num>
  <w:num w:numId="74" w16cid:durableId="1464692569">
    <w:abstractNumId w:val="21"/>
  </w:num>
  <w:num w:numId="75" w16cid:durableId="17435546">
    <w:abstractNumId w:val="76"/>
  </w:num>
  <w:num w:numId="76" w16cid:durableId="1498500436">
    <w:abstractNumId w:val="43"/>
  </w:num>
  <w:num w:numId="77" w16cid:durableId="1794983403">
    <w:abstractNumId w:val="49"/>
  </w:num>
  <w:num w:numId="78" w16cid:durableId="595939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04429A"/>
    <w:rsid w:val="0013348F"/>
    <w:rsid w:val="0016325E"/>
    <w:rsid w:val="001B57BC"/>
    <w:rsid w:val="002A3CCB"/>
    <w:rsid w:val="002A4FF5"/>
    <w:rsid w:val="002F75AD"/>
    <w:rsid w:val="00461587"/>
    <w:rsid w:val="004870E6"/>
    <w:rsid w:val="004C58BA"/>
    <w:rsid w:val="004F7998"/>
    <w:rsid w:val="00501946"/>
    <w:rsid w:val="0052448E"/>
    <w:rsid w:val="00572298"/>
    <w:rsid w:val="006A69DF"/>
    <w:rsid w:val="006A70D9"/>
    <w:rsid w:val="00756335"/>
    <w:rsid w:val="007C5F68"/>
    <w:rsid w:val="00856715"/>
    <w:rsid w:val="00895D36"/>
    <w:rsid w:val="008E42D4"/>
    <w:rsid w:val="0098514B"/>
    <w:rsid w:val="00A20860"/>
    <w:rsid w:val="00A2622F"/>
    <w:rsid w:val="00A40B4E"/>
    <w:rsid w:val="00A73780"/>
    <w:rsid w:val="00AB059F"/>
    <w:rsid w:val="00AB2DEB"/>
    <w:rsid w:val="00AC0C4A"/>
    <w:rsid w:val="00AD2A98"/>
    <w:rsid w:val="00AE277A"/>
    <w:rsid w:val="00B139CF"/>
    <w:rsid w:val="00B34B94"/>
    <w:rsid w:val="00C41354"/>
    <w:rsid w:val="00C56869"/>
    <w:rsid w:val="00C9516D"/>
    <w:rsid w:val="00CC4625"/>
    <w:rsid w:val="00CE7C48"/>
    <w:rsid w:val="00D73712"/>
    <w:rsid w:val="00DB77A3"/>
    <w:rsid w:val="00DE29B3"/>
    <w:rsid w:val="00E231C4"/>
    <w:rsid w:val="00E81547"/>
    <w:rsid w:val="00EA6890"/>
    <w:rsid w:val="00EE70C3"/>
    <w:rsid w:val="00F4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30</Pages>
  <Words>5022</Words>
  <Characters>27125</Characters>
  <Application>Microsoft Office Word</Application>
  <DocSecurity>0</DocSecurity>
  <Lines>226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21</cp:revision>
  <dcterms:created xsi:type="dcterms:W3CDTF">2025-03-04T22:57:00Z</dcterms:created>
  <dcterms:modified xsi:type="dcterms:W3CDTF">2025-09-07T22:07:00Z</dcterms:modified>
</cp:coreProperties>
</file>