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Atividade 1: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sqrt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A função sqrt retorna a raiz quadrada de x . Por padrão, se x for negativo, sqrt retorna um indefinido NaN.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pow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O pow é usado para calcular um aumento de número à potência de algum outro número. Esta função aceita dois parâmetros e retorna o valor do primeiro parâmetro elevado ao segundo parâmetro.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abs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-Para calcular o valor absoluto de qualquer número, temos um método especificado em Java denominado abs presente na classe java.lang.Math . O valor absoluto se refere ao valor positivo correspondente ao número passado como nos argumentos.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Atividade 2: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trim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Retira os espaços em branco no início e no final da string.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equals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O método equals é utilizado para comparações. A classe String e as classes Wrapper sobrescrevem equals para garantir que dois objetos desses tipos, com o mesmo conteúdo, possam ser considerados iguais. 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equalsignorecase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O método equalsIgnoreCase compara duas strings, independentemente do caso (inferior ou superior) da string. Este método retorna verdadeiro se o argumento não é nulo e representa uma String equivalente, ignorando maiúsculas e minúsculas, senão falso.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compareTo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O método compareTo da classe String é utilizado para ordenar as String s alfabeticamente*, e não por tamanho. 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replace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Retorna um novo objeto contendo a string original com um trecho especificado substituído por outra expressão indicada. 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valueof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O método valueOf é um método estático que recebe um argumento de qualquer tipo e o converte em um objeto String.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indexof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- Permite localizar a primeira ocorrência de uma sequência de caracteres em uma string. Retorna ao número de índice onde se inicia a sequência.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