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README – Final GIS Workspace Navigation</w:t>
      </w:r>
    </w:p>
    <w:p>
      <w:pPr>
        <w:jc w:val="center"/>
      </w:pPr>
      <w:r>
        <w:rPr>
          <w:i/>
          <w:color w:val="5A5A5A"/>
          <w:sz w:val="19"/>
        </w:rPr>
        <w:t>Project Mudbrick – GIS workspace documentation</w:t>
      </w:r>
    </w:p>
    <w:p>
      <w:pPr/>
      <w:r>
        <w:t>This document explains how the final GIS workspace is organised and how each folder should be used.</w:t>
      </w:r>
    </w:p>
    <w:p>
      <w:pPr>
        <w:pStyle w:val="Heading1"/>
      </w:pPr>
      <w:r>
        <w:t>Main idea of the folder structure</w:t>
      </w:r>
    </w:p>
    <w:p>
      <w:pPr/>
      <w:r>
        <w:t>The workspace is divided into five main functions: source data, processed GIS data, analytical boundary outputs, tabular exports, and supporting documentation/shortcuts.</w:t>
      </w:r>
    </w:p>
    <w:p>
      <w:pPr/>
      <w:r>
        <w:t>This structure separates raw inputs from processed outputs and makes the project easier to navigate for new users.</w:t>
      </w:r>
    </w:p>
    <w:p>
      <w:pPr>
        <w:pStyle w:val="Heading1"/>
      </w:pPr>
      <w:r>
        <w:t>Main project path</w:t>
      </w:r>
    </w:p>
    <w:p>
      <w:pPr/>
      <w:r>
        <w:t>The project is organised inside the main folder: Project_Mudbrick.</w:t>
      </w:r>
    </w:p>
    <w:p>
      <w:pPr/>
      <w:r>
        <w:t>Inside this folder, the most important directory for GIS work is GIS.</w:t>
      </w:r>
    </w:p>
    <w:p>
      <w:pPr>
        <w:pStyle w:val="Heading1"/>
      </w:pPr>
      <w:r>
        <w:t>Folder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D9E8F5"/>
          </w:tcPr>
          <w:p>
            <w:r>
              <w:rPr>
                <w:b/>
              </w:rPr>
              <w:t>Folder</w:t>
            </w:r>
          </w:p>
        </w:tc>
        <w:tc>
          <w:tcPr>
            <w:tcW w:type="dxa" w:w="4824"/>
            <w:shd w:fill="D9E8F5"/>
          </w:tcPr>
          <w:p>
            <w:r>
              <w:rPr>
                <w:b/>
              </w:rPr>
              <w:t>Function</w:t>
            </w:r>
          </w:p>
        </w:tc>
      </w:tr>
      <w:tr>
        <w:tc>
          <w:tcPr>
            <w:tcW w:type="dxa" w:w="4824"/>
          </w:tcPr>
          <w:p>
            <w:r>
              <w:t>GIS/Database</w:t>
            </w:r>
          </w:p>
        </w:tc>
        <w:tc>
          <w:tcPr>
            <w:tcW w:type="dxa" w:w="4824"/>
          </w:tcPr>
          <w:p>
            <w:r>
              <w:t>Main working database folder containing spatial data, exports, and the QGIS workspace file.</w:t>
            </w:r>
          </w:p>
        </w:tc>
      </w:tr>
      <w:tr>
        <w:tc>
          <w:tcPr>
            <w:tcW w:type="dxa" w:w="4824"/>
          </w:tcPr>
          <w:p>
            <w:r>
              <w:t>GIS/Database/Shapefiles/Original_OSM</w:t>
            </w:r>
          </w:p>
        </w:tc>
        <w:tc>
          <w:tcPr>
            <w:tcW w:type="dxa" w:w="4824"/>
          </w:tcPr>
          <w:p>
            <w:r>
              <w:t>Original OpenStreetMap shapefiles downloaded before reclassification; archive of raw OSM input data.</w:t>
            </w:r>
          </w:p>
        </w:tc>
      </w:tr>
      <w:tr>
        <w:tc>
          <w:tcPr>
            <w:tcW w:type="dxa" w:w="4824"/>
          </w:tcPr>
          <w:p>
            <w:r>
              <w:t>GIS/Database/Shapefiles/Original_TN</w:t>
            </w:r>
          </w:p>
        </w:tc>
        <w:tc>
          <w:tcPr>
            <w:tcW w:type="dxa" w:w="4824"/>
          </w:tcPr>
          <w:p>
            <w:r>
              <w:t>Original Tombs &amp; Necropoleis dataset before cleaning and restructuring; archive reference.</w:t>
            </w:r>
          </w:p>
        </w:tc>
      </w:tr>
      <w:tr>
        <w:tc>
          <w:tcPr>
            <w:tcW w:type="dxa" w:w="4824"/>
          </w:tcPr>
          <w:p>
            <w:r>
              <w:t>GIS/Database/Shapefiles/Shp_Reclass_OSM</w:t>
            </w:r>
          </w:p>
        </w:tc>
        <w:tc>
          <w:tcPr>
            <w:tcW w:type="dxa" w:w="4824"/>
          </w:tcPr>
          <w:p>
            <w:r>
              <w:t>Reclassified OSM-based layers used in the final disturbance model, including agriculture, archaeology, infrastructure, land use, and urban.</w:t>
            </w:r>
          </w:p>
        </w:tc>
      </w:tr>
      <w:tr>
        <w:tc>
          <w:tcPr>
            <w:tcW w:type="dxa" w:w="4824"/>
          </w:tcPr>
          <w:p>
            <w:r>
              <w:t>GIS/Database/Shapefiles/Shp_T&amp;N</w:t>
            </w:r>
          </w:p>
        </w:tc>
        <w:tc>
          <w:tcPr>
            <w:tcW w:type="dxa" w:w="4824"/>
          </w:tcPr>
          <w:p>
            <w:r>
              <w:t>Cleaned and released Tombs &amp; Necropoleis layer used in the GIS workflow.</w:t>
            </w:r>
          </w:p>
        </w:tc>
      </w:tr>
      <w:tr>
        <w:tc>
          <w:tcPr>
            <w:tcW w:type="dxa" w:w="4824"/>
          </w:tcPr>
          <w:p>
            <w:r>
              <w:t>GIS/Database/Shapefiles/Boundary_Radii</w:t>
            </w:r>
          </w:p>
        </w:tc>
        <w:tc>
          <w:tcPr>
            <w:tcW w:type="dxa" w:w="4824"/>
          </w:tcPr>
          <w:p>
            <w:r>
              <w:t>Analytical boundary outputs and derived layers for 100 m, 250 m, and 500 m analyses, including designation-wide and GISNo-merged outputs.</w:t>
            </w:r>
          </w:p>
        </w:tc>
      </w:tr>
      <w:tr>
        <w:tc>
          <w:tcPr>
            <w:tcW w:type="dxa" w:w="4824"/>
          </w:tcPr>
          <w:p>
            <w:r>
              <w:t>GIS/Database/Export_CSV</w:t>
            </w:r>
          </w:p>
        </w:tc>
        <w:tc>
          <w:tcPr>
            <w:tcW w:type="dxa" w:w="4824"/>
          </w:tcPr>
          <w:p>
            <w:r>
              <w:t>CSV exports of GIS attribute tables for checking, transfer, or lightweight spreadsheet use.</w:t>
            </w:r>
          </w:p>
        </w:tc>
      </w:tr>
      <w:tr>
        <w:tc>
          <w:tcPr>
            <w:tcW w:type="dxa" w:w="4824"/>
          </w:tcPr>
          <w:p>
            <w:r>
              <w:t>GIS/Database/Export_Excel</w:t>
            </w:r>
          </w:p>
        </w:tc>
        <w:tc>
          <w:tcPr>
            <w:tcW w:type="dxa" w:w="4824"/>
          </w:tcPr>
          <w:p>
            <w:r>
              <w:t>Main Excel outputs derived from the GIS workflow, including combined TN risk and final analysis workbooks.</w:t>
            </w:r>
          </w:p>
        </w:tc>
      </w:tr>
      <w:tr>
        <w:tc>
          <w:tcPr>
            <w:tcW w:type="dxa" w:w="4824"/>
          </w:tcPr>
          <w:p>
            <w:r>
              <w:t>GIS/Database/Workspace</w:t>
            </w:r>
          </w:p>
        </w:tc>
        <w:tc>
          <w:tcPr>
            <w:tcW w:type="dxa" w:w="4824"/>
          </w:tcPr>
          <w:p>
            <w:r>
              <w:t>Contains the QGIS project file; this is the main entry point for the spatial workspace.</w:t>
            </w:r>
          </w:p>
        </w:tc>
      </w:tr>
      <w:tr>
        <w:tc>
          <w:tcPr>
            <w:tcW w:type="dxa" w:w="4824"/>
          </w:tcPr>
          <w:p>
            <w:r>
              <w:t>GIS/Metadata_Discriptions</w:t>
            </w:r>
          </w:p>
        </w:tc>
        <w:tc>
          <w:tcPr>
            <w:tcW w:type="dxa" w:w="4824"/>
          </w:tcPr>
          <w:p>
            <w:r>
              <w:t>Folder for metadata notes, dataset descriptions, workflow structure, and supporting documentation.</w:t>
            </w:r>
          </w:p>
        </w:tc>
      </w:tr>
      <w:tr>
        <w:tc>
          <w:tcPr>
            <w:tcW w:type="dxa" w:w="4824"/>
          </w:tcPr>
          <w:p>
            <w:r>
              <w:t>GIS/Shortcuts</w:t>
            </w:r>
          </w:p>
        </w:tc>
        <w:tc>
          <w:tcPr>
            <w:tcW w:type="dxa" w:w="4824"/>
          </w:tcPr>
          <w:p>
            <w:r>
              <w:t>Alias/shortcut files pointing to the most important workspace and spreadsheet outputs for quick access.</w:t>
            </w:r>
          </w:p>
        </w:tc>
      </w:tr>
    </w:tbl>
    <w:p>
      <w:pPr>
        <w:pStyle w:val="Heading1"/>
      </w:pPr>
      <w:r>
        <w:t>How to navigate the project</w:t>
      </w:r>
    </w:p>
    <w:p>
      <w:pPr>
        <w:pStyle w:val="ListBullet"/>
      </w:pPr>
      <w:r>
        <w:t>If the goal is to open the GIS project: go to GIS &gt; Database &gt; Workspace &gt; Project_Mudbrick_Workspace.qgz and open this file in QGIS.</w:t>
      </w:r>
    </w:p>
    <w:p>
      <w:pPr>
        <w:pStyle w:val="ListBullet"/>
      </w:pPr>
      <w:r>
        <w:t>If the goal is to inspect the original raw data: go to GIS &gt; Database &gt; Shapefiles &gt; Original_OSM or GIS &gt; Database &gt; Shapefiles &gt; Original_TN.</w:t>
      </w:r>
    </w:p>
    <w:p>
      <w:pPr>
        <w:pStyle w:val="ListBullet"/>
      </w:pPr>
      <w:r>
        <w:t>If the goal is to inspect the final processed GIS layers: go to GIS &gt; Database &gt; Shapefiles &gt; Shp_Reclass_OSM and GIS &gt; Database &gt; Shapefiles &gt; Shp_T&amp;N.</w:t>
      </w:r>
    </w:p>
    <w:p>
      <w:pPr>
        <w:pStyle w:val="ListBullet"/>
      </w:pPr>
      <w:r>
        <w:t>If the goal is to inspect the buffer-based outputs: go to GIS &gt; Database &gt; Shapefiles &gt; Boundary_Radii.</w:t>
      </w:r>
    </w:p>
    <w:p>
      <w:pPr>
        <w:pStyle w:val="ListBullet"/>
      </w:pPr>
      <w:r>
        <w:t>If the goal is to use tabular results: go to GIS &gt; Database &gt; Export_Excel or GIS &gt; Database &gt; Export_CSV.</w:t>
      </w:r>
    </w:p>
    <w:p>
      <w:pPr>
        <w:pStyle w:val="Heading1"/>
      </w:pPr>
      <w:r>
        <w:t>Recommended workflow for a new user</w:t>
      </w:r>
    </w:p>
    <w:p>
      <w:pPr>
        <w:pStyle w:val="ListBullet"/>
      </w:pPr>
      <w:r>
        <w:t>Open the main QGIS project from the Workspace folder.</w:t>
      </w:r>
    </w:p>
    <w:p>
      <w:pPr>
        <w:pStyle w:val="ListBullet"/>
      </w:pPr>
      <w:r>
        <w:t>Check the cleaned Tombs &amp; Necropoleis layer in Shp_T&amp;N.</w:t>
      </w:r>
    </w:p>
    <w:p>
      <w:pPr>
        <w:pStyle w:val="ListBullet"/>
      </w:pPr>
      <w:r>
        <w:t>Review the reclassified disturbance layers in Shp_Reclass_OSM.</w:t>
      </w:r>
    </w:p>
    <w:p>
      <w:pPr>
        <w:pStyle w:val="ListBullet"/>
      </w:pPr>
      <w:r>
        <w:t>Review the buffer outputs in Boundary_Radii.</w:t>
      </w:r>
    </w:p>
    <w:p>
      <w:pPr>
        <w:pStyle w:val="ListBullet"/>
      </w:pPr>
      <w:r>
        <w:t>Use the Excel files in Export_Excel for the final analytical tables.</w:t>
      </w:r>
    </w:p>
    <w:p>
      <w:pPr>
        <w:pStyle w:val="Heading1"/>
      </w:pPr>
      <w:r>
        <w:t>Important note</w:t>
      </w:r>
    </w:p>
    <w:p>
      <w:pPr>
        <w:pStyle w:val="ListBullet"/>
      </w:pPr>
      <w:r>
        <w:t>This structure is designed to improve transparency and navigation.</w:t>
      </w:r>
    </w:p>
    <w:p>
      <w:pPr>
        <w:pStyle w:val="ListBullet"/>
      </w:pPr>
      <w:r>
        <w:t>The user should always distinguish between original/raw source files, processed analytical GIS layers, and exported spreadsheet outputs.</w:t>
      </w:r>
    </w:p>
    <w:p>
      <w:pPr>
        <w:pStyle w:val="ListBullet"/>
      </w:pPr>
      <w:r>
        <w:t>The QGIS workspace file is the main entry point for the spatial project, while the Excel exports are the main entry point for the final tabular analysis.</w:t>
      </w:r>
    </w:p>
    <w:sectPr w:rsidR="00FC693F" w:rsidRPr="0006063C" w:rsidSect="00034616">
      <w:pgSz w:w="12240" w:h="15840"/>
      <w:pgMar w:top="1152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22405E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37373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color w:val="22405E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