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HR IT Transformation — Requirements Specification</w:t>
      </w:r>
    </w:p>
    <w:p>
      <w:r>
        <w:t>Document Reference: EnABLEHR-REQ-001  |  Version: 1.0  |  Status: FINAL</w:t>
      </w:r>
    </w:p>
    <w:p/>
    <w:p>
      <w:pPr>
        <w:pStyle w:val="Heading1"/>
      </w:pPr>
      <w:r>
        <w:t>1. Introduction</w:t>
      </w:r>
    </w:p>
    <w:p>
      <w:r>
        <w:t>This document specifies the functional and non-functional requirements for the digital transformation of the HR IT landscape. The objective is to provide HR employees and end users with modern, integrated, and automated HR services. The solution must be scalable, secure, and aligned with the organisation's IT architecture principles.</w:t>
      </w:r>
    </w:p>
    <w:p>
      <w:pPr>
        <w:pStyle w:val="Heading1"/>
      </w:pPr>
      <w:r>
        <w:t>2. IT Architecture Principles</w:t>
      </w:r>
    </w:p>
    <w:p>
      <w:pPr>
        <w:pStyle w:val="ListBullet"/>
      </w:pPr>
      <w:r>
        <w:t>API-first: All integrations must be API-based. No point-to-point connections.</w:t>
      </w:r>
    </w:p>
    <w:p>
      <w:pPr>
        <w:pStyle w:val="ListBullet"/>
      </w:pPr>
      <w:r>
        <w:t>Cloud-first: Prefer cloud-native or cloud-managed services over on-premise deployments.</w:t>
      </w:r>
    </w:p>
    <w:p>
      <w:pPr>
        <w:pStyle w:val="ListBullet"/>
      </w:pPr>
      <w:r>
        <w:t>Security by design: Security controls must be built in from the start, not added later.</w:t>
      </w:r>
    </w:p>
    <w:p>
      <w:pPr>
        <w:pStyle w:val="ListBullet"/>
      </w:pPr>
      <w:r>
        <w:t>Open standards: Use open and widely adopted standards (OAuth 2.0, REST, JSON, OpenAPI).</w:t>
      </w:r>
    </w:p>
    <w:p>
      <w:pPr>
        <w:pStyle w:val="ListBullet"/>
      </w:pPr>
      <w:r>
        <w:t>Modular architecture: Components must be independently deployable and replaceable.</w:t>
      </w:r>
    </w:p>
    <w:p>
      <w:pPr>
        <w:pStyle w:val="ListBullet"/>
      </w:pPr>
      <w:r>
        <w:t>Data sovereignty: Personal data must remain within the EU.</w:t>
      </w:r>
    </w:p>
    <w:p>
      <w:pPr>
        <w:pStyle w:val="ListBullet"/>
      </w:pPr>
      <w:r>
        <w:t>Reusability: Solutions must be designed for reuse across HR use cases.</w:t>
      </w:r>
    </w:p>
    <w:p/>
    <w:p>
      <w:pPr>
        <w:pStyle w:val="Heading1"/>
      </w:pPr>
      <w:r>
        <w:t>3. Functional Requirements</w:t>
      </w:r>
    </w:p>
    <w:p>
      <w:pPr>
        <w:pStyle w:val="Heading2"/>
      </w:pPr>
      <w:r>
        <w:t>3.1  Create simple customer services and processes</w:t>
      </w:r>
    </w:p>
    <w:p>
      <w:r>
        <w:rPr>
          <w:b/>
          <w:sz w:val="24"/>
        </w:rPr>
        <w:t>FA-1: Creation of simple customer services and processes</w:t>
      </w:r>
    </w:p>
    <w:p>
      <w:r>
        <w:t>The HR department should be able to create its own, simple customer services and processes digitally. The resulting products can be made available to employees and fit into the overall architecture of the HR offerings. It is important to adhere to a uniform presentation and short implementation time.</w:t>
      </w:r>
    </w:p>
    <w:p/>
    <w:p>
      <w:r>
        <w:rPr>
          <w:b/>
          <w:sz w:val="24"/>
        </w:rPr>
        <w:t>FA-2: If-then map relationships / decision trees</w:t>
      </w:r>
    </w:p>
    <w:p>
      <w:r>
        <w:t>In order to respond dynamically to user inputs or decisions, HR employees can store simple if-then relationships in the customer services and processes they have created themselves. No programming knowledge is required.</w:t>
      </w:r>
    </w:p>
    <w:p/>
    <w:p>
      <w:r>
        <w:rPr>
          <w:b/>
          <w:sz w:val="24"/>
        </w:rPr>
        <w:t>FA-3: Define activities for person groups</w:t>
      </w:r>
    </w:p>
    <w:p>
      <w:r>
        <w:t>The HR team can store the target group involved in processes for each HR application created by itself. This enables simple, linear information or approval scenarios to be mapped.</w:t>
      </w:r>
    </w:p>
    <w:p/>
    <w:p>
      <w:r>
        <w:rPr>
          <w:b/>
          <w:sz w:val="24"/>
        </w:rPr>
        <w:t>FA-4: Deposit calculation logic for individual data fields</w:t>
      </w:r>
    </w:p>
    <w:p>
      <w:r>
        <w:t>When creating simple customer services, it should be possible to add custom data fields. These fields can change after input or in response to user decisions. Programming knowledge is not necessary; a basic understanding of logical relationships must be given.</w:t>
      </w:r>
    </w:p>
    <w:p/>
    <w:p>
      <w:r>
        <w:rPr>
          <w:b/>
          <w:sz w:val="24"/>
        </w:rPr>
        <w:t>FA-5: Design simple and intuitive HR application interfaces</w:t>
      </w:r>
    </w:p>
    <w:p>
      <w:r>
        <w:t>Employees can independently create interfaces using modular systems. They receive direct feedback on their changes and can map simple HR products/services. There is a fixed set of components (data fields, buttons with fixed actions, icons, etc.).</w:t>
      </w:r>
    </w:p>
    <w:p/>
    <w:p>
      <w:r>
        <w:rPr>
          <w:b/>
          <w:sz w:val="24"/>
        </w:rPr>
        <w:t>FA-6: Different field types for HR data</w:t>
      </w:r>
    </w:p>
    <w:p>
      <w:r>
        <w:t>When designing interfaces, a WYSIWYG editor can be used to select from an existing set of field types (list fields, text input, date pickers, etc.). HR employees are provided with a suitable range of options.</w:t>
      </w:r>
    </w:p>
    <w:p/>
    <w:p>
      <w:r>
        <w:rPr>
          <w:b/>
          <w:sz w:val="24"/>
        </w:rPr>
        <w:t>FA-7: Selection of HR data fields for display and processing</w:t>
      </w:r>
    </w:p>
    <w:p>
      <w:r>
        <w:t>When creating interfaces, it should be possible to use an existing set of HR data fields. HR employees can quickly create interfaces whose display fields are directly linked to HR databases.</w:t>
      </w:r>
    </w:p>
    <w:p/>
    <w:p>
      <w:r>
        <w:rPr>
          <w:b/>
          <w:sz w:val="24"/>
        </w:rPr>
        <w:t>FA-8: Use/creation of design templates and principles</w:t>
      </w:r>
    </w:p>
    <w:p>
      <w:r>
        <w:t>HR employees can rely on templates and design principles to create standardized HR products. The digital solutions offered to employees should provide consistent user experience.</w:t>
      </w:r>
    </w:p>
    <w:p/>
    <w:p>
      <w:pPr>
        <w:pStyle w:val="Heading2"/>
      </w:pPr>
      <w:r>
        <w:t>3.2  Integration of HR applications</w:t>
      </w:r>
    </w:p>
    <w:p>
      <w:r>
        <w:rPr>
          <w:b/>
          <w:sz w:val="24"/>
        </w:rPr>
        <w:t>FA-9: Integration of HR applications</w:t>
      </w:r>
    </w:p>
    <w:p>
      <w:r>
        <w:t>In order to illustrate end-to-end processes, all HR systems must communicate in a networked manner. Systems connect via middleware solutions with defined APIs. A smooth exchange of data and information takes place through API-based integration.</w:t>
      </w:r>
    </w:p>
    <w:p/>
    <w:p>
      <w:r>
        <w:rPr>
          <w:b/>
          <w:sz w:val="24"/>
        </w:rPr>
        <w:t>FA-10: Migrate and transfer HR data</w:t>
      </w:r>
    </w:p>
    <w:p>
      <w:r>
        <w:t>For initial data loading or adding further company participations, HR can work with IT to execute a defined migration plan in accordance with ETL specifications. Rapid Deployment Packages should be supported.</w:t>
      </w:r>
    </w:p>
    <w:p/>
    <w:p>
      <w:r>
        <w:rPr>
          <w:b/>
          <w:sz w:val="24"/>
        </w:rPr>
        <w:t>FA-11: Exchange HR data between applications</w:t>
      </w:r>
    </w:p>
    <w:p>
      <w:r>
        <w:t>Individual HR systems must be able to exchange data, information and actions with each other. Solutions should have modern APIs and interface management options to enable centralised networking.</w:t>
      </w:r>
    </w:p>
    <w:p/>
    <w:p>
      <w:r>
        <w:rPr>
          <w:b/>
          <w:sz w:val="24"/>
        </w:rPr>
        <w:t>FA-12: Establish connectivity between HR applications</w:t>
      </w:r>
    </w:p>
    <w:p>
      <w:r>
        <w:t>Individual solutions are to be implemented using modern connection options (token-based, JSON interface, PUSH and PULL). All solutions can be centrally networked in a uniform manner.</w:t>
      </w:r>
    </w:p>
    <w:p/>
    <w:p>
      <w:pPr>
        <w:pStyle w:val="Heading2"/>
      </w:pPr>
      <w:r>
        <w:t>3.3  Automation of acceptance of unstructured Customer interactions</w:t>
      </w:r>
    </w:p>
    <w:p>
      <w:r>
        <w:rPr>
          <w:b/>
          <w:sz w:val="24"/>
        </w:rPr>
        <w:t>FA-13: Automation of unstructured customer interactions (Phone, Mail, Chat)</w:t>
      </w:r>
    </w:p>
    <w:p>
      <w:r>
        <w:t>The volume of unstructured requests processed by HR employees is to be reduced. HR solutions should interpret and channel customer concerns automatically. Only cases with consulting requirements involve HR staff directly.</w:t>
      </w:r>
    </w:p>
    <w:p/>
    <w:p>
      <w:r>
        <w:rPr>
          <w:b/>
          <w:sz w:val="24"/>
        </w:rPr>
        <w:t>FA-14: Context-sensitive processing and HR process knowledge</w:t>
      </w:r>
    </w:p>
    <w:p>
      <w:r>
        <w:t>In order to provide employees with the best possible support, the HR IT landscape should provide chatbots, digital assistants, and contextual help. This includes intuitive navigation and process knowledge on individual HR topics (maternity, sabbatical, etc.).</w:t>
      </w:r>
    </w:p>
    <w:p/>
    <w:p>
      <w:r>
        <w:rPr>
          <w:b/>
          <w:sz w:val="24"/>
        </w:rPr>
        <w:t>FA-15: Context-sensitive processing of employee-related information</w:t>
      </w:r>
    </w:p>
    <w:p>
      <w:r>
        <w:t>To assist employees in entering data or starting processes, only information required for current tasks should be displayed. Data input only requires information not already available in HR systems.</w:t>
      </w:r>
    </w:p>
    <w:p/>
    <w:p>
      <w:r>
        <w:rPr>
          <w:b/>
          <w:sz w:val="24"/>
        </w:rPr>
        <w:t>FA-16: Automation of manual and recurring activities</w:t>
      </w:r>
    </w:p>
    <w:p>
      <w:r>
        <w:t>All repetitive and consistent system tasks currently carried out by HR employees should be automatable. Activities are carried out by the system itself where no human decisions are necessary.</w:t>
      </w:r>
    </w:p>
    <w:p/>
    <w:p>
      <w:r>
        <w:rPr>
          <w:b/>
          <w:sz w:val="24"/>
        </w:rPr>
        <w:t>FA-17: Interpretation of telephone calls</w:t>
      </w:r>
    </w:p>
    <w:p>
      <w:r>
        <w:t>Telephone enquiries made by employees can be interpreted in terms of content. For selected HR products and processes, their start can be carried out automatically. Unassigned enquiries are forwarded to the responsible HR staff.</w:t>
      </w:r>
    </w:p>
    <w:p/>
    <w:p>
      <w:r>
        <w:rPr>
          <w:b/>
          <w:sz w:val="24"/>
        </w:rPr>
        <w:t>FA-18: Interpretation of text messages (mail, chat)</w:t>
      </w:r>
    </w:p>
    <w:p>
      <w:r>
        <w:t>Unstructured texts sent by employees can be read and interpreted in terms of content. The start and/or execution of selected HR products and processes can be carried out automatically.</w:t>
      </w:r>
    </w:p>
    <w:p/>
    <w:p>
      <w:pPr>
        <w:pStyle w:val="Heading2"/>
      </w:pPr>
      <w:r>
        <w:t>3.4  Ensure the consistency of HR data</w:t>
      </w:r>
    </w:p>
    <w:p>
      <w:r>
        <w:rPr>
          <w:b/>
          <w:sz w:val="24"/>
        </w:rPr>
        <w:t>FA-19: Ensuring system and application-wide HR data consistency</w:t>
      </w:r>
    </w:p>
    <w:p>
      <w:r>
        <w:t>Uniform data models are provided for mapping end-to-end processes across topics and systems. Own developments but also SaaS solutions are based on the general data model.</w:t>
      </w:r>
    </w:p>
    <w:p/>
    <w:p>
      <w:r>
        <w:rPr>
          <w:b/>
          <w:sz w:val="24"/>
        </w:rPr>
        <w:t>FA-20: Single source of truth for HR master data</w:t>
      </w:r>
    </w:p>
    <w:p>
      <w:r>
        <w:t>One authoritative system manages HR master data. All other systems synchronise from this source via defined APIs. Data conflicts are detected and flagged automatically.</w:t>
      </w:r>
    </w:p>
    <w:p/>
    <w:p>
      <w:pPr>
        <w:pStyle w:val="Heading2"/>
      </w:pPr>
      <w:r>
        <w:t>3.5  Build trust in digital HR systems</w:t>
      </w:r>
    </w:p>
    <w:p>
      <w:r>
        <w:rPr>
          <w:b/>
          <w:sz w:val="24"/>
        </w:rPr>
        <w:t>FA-21: Build trust through transparency and reliability</w:t>
      </w:r>
    </w:p>
    <w:p>
      <w:r>
        <w:t>Digital HR systems must provide employees with confidence in data accuracy. Clear audit trails, transparency in decisions, and reliable uptime are mandatory.</w:t>
      </w:r>
    </w:p>
    <w:p/>
    <w:p>
      <w:r>
        <w:rPr>
          <w:b/>
          <w:sz w:val="24"/>
        </w:rPr>
        <w:t>FA-22: Identity and access management</w:t>
      </w:r>
    </w:p>
    <w:p>
      <w:r>
        <w:t>The platform must support Single Sign-On (SSO) and multi-factor authentication. Role-based access control must be enforced across all HR applications.</w:t>
      </w:r>
    </w:p>
    <w:p/>
    <w:p>
      <w:pPr>
        <w:pStyle w:val="Heading2"/>
      </w:pPr>
      <w:r>
        <w:t>3.6  Define target group for access authorization</w:t>
      </w:r>
    </w:p>
    <w:p>
      <w:r>
        <w:rPr>
          <w:b/>
          <w:sz w:val="24"/>
        </w:rPr>
        <w:t>FA-23: Define target groups for access to HR applications</w:t>
      </w:r>
    </w:p>
    <w:p>
      <w:r>
        <w:t>HR administrators can define target groups and assign access rights to in-house developed HR applications. Users are assigned roles that control which features and data they can access.</w:t>
      </w:r>
    </w:p>
    <w:p/>
    <w:p>
      <w:pPr>
        <w:pStyle w:val="Heading2"/>
      </w:pPr>
      <w:r>
        <w:t>3.7  Development of complex HR applications</w:t>
      </w:r>
    </w:p>
    <w:p>
      <w:r>
        <w:rPr>
          <w:b/>
          <w:sz w:val="24"/>
        </w:rPr>
        <w:t>FA-24: Development of complex HR applications and customer services</w:t>
      </w:r>
    </w:p>
    <w:p>
      <w:r>
        <w:t>For complex HR use cases that exceed the capabilities of simple services, a development environment is needed that allows custom applications to be built as side-by-side extensions without modifying the core HR system.</w:t>
      </w:r>
    </w:p>
    <w:p/>
    <w:p>
      <w:pPr>
        <w:pStyle w:val="Heading2"/>
      </w:pPr>
      <w:r>
        <w:t>3.8  Monitoring of resources and applications</w:t>
      </w:r>
    </w:p>
    <w:p>
      <w:r>
        <w:rPr>
          <w:b/>
          <w:sz w:val="24"/>
        </w:rPr>
        <w:t>FA-25: Monitoring of resources and applications</w:t>
      </w:r>
    </w:p>
    <w:p>
      <w:r>
        <w:t>Standard monitoring capabilities must be available for all deployed HR applications. Custom monitoring using standard adapters is possible with additional configuration. Alerting and automated remediation should be supported.</w:t>
      </w:r>
    </w:p>
    <w:p/>
    <w:p>
      <w:pPr>
        <w:pStyle w:val="Heading1"/>
      </w:pPr>
      <w:r>
        <w:t>4. Non-Functional Requirements</w:t>
      </w:r>
    </w:p>
    <w:p>
      <w:r>
        <w:rPr>
          <w:b/>
        </w:rPr>
        <w:t>NFR-1: Response time</w:t>
      </w:r>
    </w:p>
    <w:p>
      <w:r>
        <w:t>All user-facing transactions must complete within 3 seconds under normal load conditions. Batch processes may take longer but must complete within defined SLA windows.</w:t>
      </w:r>
    </w:p>
    <w:p/>
    <w:p>
      <w:r>
        <w:rPr>
          <w:b/>
        </w:rPr>
        <w:t>NFR-2: System availability</w:t>
      </w:r>
    </w:p>
    <w:p>
      <w:r>
        <w:t>The HR platform must maintain 99.5% uptime during business hours (06:00–22:00 CET). Planned maintenance windows must be communicated 5 business days in advance.</w:t>
      </w:r>
    </w:p>
    <w:p/>
    <w:p>
      <w:r>
        <w:rPr>
          <w:b/>
        </w:rPr>
        <w:t>NFR-3: Data protection and GDPR compliance</w:t>
      </w:r>
    </w:p>
    <w:p>
      <w:r>
        <w:t>All personal data must be processed in accordance with GDPR. Data encryption at rest and in transit is mandatory. Data residency must be within the EU.</w:t>
      </w:r>
    </w:p>
    <w:p/>
    <w:p>
      <w:r>
        <w:rPr>
          <w:b/>
        </w:rPr>
        <w:t>NFR-4: Scalability</w:t>
      </w:r>
    </w:p>
    <w:p>
      <w:r>
        <w:t>The system must support a 50% increase in user load without performance degradation. Horizontal scaling must be achievable without downtime.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